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BD773" w14:textId="1F2D89FF" w:rsidR="00365A66" w:rsidRDefault="000A7B73" w:rsidP="000A7B73">
      <w:pPr>
        <w:spacing w:line="259" w:lineRule="auto"/>
        <w:jc w:val="center"/>
        <w:rPr>
          <w:rFonts w:eastAsiaTheme="minorEastAsia"/>
        </w:rPr>
      </w:pPr>
      <w:r>
        <w:rPr>
          <w:noProof/>
          <w:color w:val="000000"/>
          <w:bdr w:val="none" w:sz="0" w:space="0" w:color="auto" w:frame="1"/>
        </w:rPr>
        <w:drawing>
          <wp:inline distT="0" distB="0" distL="0" distR="0" wp14:anchorId="32ACA858" wp14:editId="6C790A3F">
            <wp:extent cx="1362075" cy="79718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4019" b="15421"/>
                    <a:stretch/>
                  </pic:blipFill>
                  <pic:spPr bwMode="auto">
                    <a:xfrm>
                      <a:off x="0" y="0"/>
                      <a:ext cx="1365355" cy="799103"/>
                    </a:xfrm>
                    <a:prstGeom prst="rect">
                      <a:avLst/>
                    </a:prstGeom>
                    <a:noFill/>
                    <a:ln>
                      <a:noFill/>
                    </a:ln>
                    <a:extLst>
                      <a:ext uri="{53640926-AAD7-44D8-BBD7-CCE9431645EC}">
                        <a14:shadowObscured xmlns:a14="http://schemas.microsoft.com/office/drawing/2010/main"/>
                      </a:ext>
                    </a:extLst>
                  </pic:spPr>
                </pic:pic>
              </a:graphicData>
            </a:graphic>
          </wp:inline>
        </w:drawing>
      </w:r>
    </w:p>
    <w:p w14:paraId="0EB90E00" w14:textId="77777777" w:rsidR="00365A66" w:rsidRDefault="00365A66" w:rsidP="7709A8AA">
      <w:pPr>
        <w:spacing w:line="259" w:lineRule="auto"/>
        <w:rPr>
          <w:rFonts w:eastAsiaTheme="minorEastAsia"/>
        </w:rPr>
      </w:pPr>
    </w:p>
    <w:p w14:paraId="6B3569BC" w14:textId="1B14F99F" w:rsidR="7709A8AA" w:rsidRDefault="7709A8AA" w:rsidP="7709A8AA">
      <w:pPr>
        <w:spacing w:line="259" w:lineRule="auto"/>
        <w:rPr>
          <w:rFonts w:eastAsiaTheme="minorEastAsia"/>
        </w:rPr>
      </w:pPr>
      <w:r w:rsidRPr="7709A8AA">
        <w:rPr>
          <w:rFonts w:eastAsiaTheme="minorEastAsia"/>
        </w:rPr>
        <w:t>FOR IMMEDIATE RELEASE</w:t>
      </w:r>
    </w:p>
    <w:p w14:paraId="782A8E55" w14:textId="6C088B87" w:rsidR="005656E7" w:rsidRDefault="7709A8AA" w:rsidP="7709A8AA">
      <w:pPr>
        <w:rPr>
          <w:rFonts w:eastAsiaTheme="minorEastAsia"/>
          <w:b/>
          <w:bCs/>
        </w:rPr>
      </w:pPr>
      <w:r w:rsidRPr="7709A8AA">
        <w:rPr>
          <w:rFonts w:eastAsiaTheme="minorEastAsia"/>
          <w:b/>
          <w:bCs/>
        </w:rPr>
        <w:t>East Coast Prison Justice Society Raises Alarm Over Institutional Lockdowns at Burnside</w:t>
      </w:r>
    </w:p>
    <w:p w14:paraId="49EDF4F9" w14:textId="77777777" w:rsidR="005656E7" w:rsidRPr="005656E7" w:rsidRDefault="005656E7" w:rsidP="7709A8AA">
      <w:pPr>
        <w:rPr>
          <w:rFonts w:eastAsiaTheme="minorEastAsia"/>
        </w:rPr>
      </w:pPr>
    </w:p>
    <w:p w14:paraId="13A35C3A" w14:textId="65FD3AC3" w:rsidR="005656E7" w:rsidRDefault="7709A8AA" w:rsidP="7709A8AA">
      <w:pPr>
        <w:rPr>
          <w:rFonts w:eastAsiaTheme="minorEastAsia"/>
          <w:i/>
          <w:iCs/>
        </w:rPr>
      </w:pPr>
      <w:r w:rsidRPr="7709A8AA">
        <w:rPr>
          <w:rFonts w:eastAsiaTheme="minorEastAsia"/>
          <w:i/>
          <w:iCs/>
        </w:rPr>
        <w:t>Nova Scotia – November 7, 2023</w:t>
      </w:r>
    </w:p>
    <w:p w14:paraId="2B02795D" w14:textId="77777777" w:rsidR="005656E7" w:rsidRPr="005656E7" w:rsidRDefault="005656E7" w:rsidP="7709A8AA">
      <w:pPr>
        <w:rPr>
          <w:rFonts w:eastAsiaTheme="minorEastAsia"/>
        </w:rPr>
      </w:pPr>
    </w:p>
    <w:p w14:paraId="646F1019" w14:textId="4D83087A" w:rsidR="7709A8AA" w:rsidRDefault="0033443E" w:rsidP="7709A8AA">
      <w:pPr>
        <w:spacing w:line="259" w:lineRule="auto"/>
        <w:rPr>
          <w:rStyle w:val="eop"/>
          <w:rFonts w:eastAsiaTheme="minorEastAsia"/>
          <w:b/>
          <w:bCs/>
        </w:rPr>
      </w:pPr>
      <w:r>
        <w:rPr>
          <w:rFonts w:eastAsiaTheme="minorEastAsia"/>
          <w:lang w:val="en-US"/>
        </w:rPr>
        <w:t xml:space="preserve">The </w:t>
      </w:r>
      <w:r w:rsidR="7709A8AA" w:rsidRPr="7709A8AA">
        <w:rPr>
          <w:rFonts w:eastAsiaTheme="minorEastAsia"/>
          <w:lang w:val="en-US"/>
        </w:rPr>
        <w:t>East Coast Prison Justice Society operates a toll-free phone line for provincial prisoners in Nova Scotia. While we have previously raised concerns about institutional lockdowns, we continue to receive reports of lengthy, recurrent unit-wide and/or facility-wide lockdowns at Central Nova Scotia Correctional Facility (CNSCF, aka Burnside). </w:t>
      </w:r>
      <w:r w:rsidR="7709A8AA" w:rsidRPr="7709A8AA">
        <w:rPr>
          <w:rFonts w:eastAsiaTheme="minorEastAsia"/>
          <w:b/>
          <w:bCs/>
          <w:lang w:val="en-US"/>
        </w:rPr>
        <w:t>We are</w:t>
      </w:r>
      <w:r w:rsidR="7709A8AA" w:rsidRPr="7709A8AA">
        <w:rPr>
          <w:rStyle w:val="normaltextrun"/>
          <w:rFonts w:eastAsiaTheme="minorEastAsia"/>
          <w:b/>
          <w:bCs/>
          <w:lang w:val="en-US"/>
        </w:rPr>
        <w:t xml:space="preserve"> increasingly concerned about prisoners' physical and mental health and wellbeing under these conditions. </w:t>
      </w:r>
      <w:r w:rsidR="7709A8AA" w:rsidRPr="7709A8AA">
        <w:rPr>
          <w:rStyle w:val="eop"/>
          <w:rFonts w:eastAsiaTheme="minorEastAsia"/>
          <w:b/>
          <w:bCs/>
        </w:rPr>
        <w:t> </w:t>
      </w:r>
    </w:p>
    <w:p w14:paraId="450F7323" w14:textId="77777777" w:rsidR="005D0C2E" w:rsidRDefault="005D0C2E" w:rsidP="7709A8AA">
      <w:pPr>
        <w:rPr>
          <w:rFonts w:eastAsiaTheme="minorEastAsia"/>
        </w:rPr>
      </w:pPr>
    </w:p>
    <w:p w14:paraId="4CCE125E" w14:textId="57D94DB0" w:rsidR="006051D8" w:rsidRDefault="7709A8AA" w:rsidP="7709A8AA">
      <w:pPr>
        <w:rPr>
          <w:rFonts w:eastAsiaTheme="minorEastAsia"/>
          <w:b/>
          <w:bCs/>
          <w:lang w:val="en-US"/>
        </w:rPr>
      </w:pPr>
      <w:r w:rsidRPr="7709A8AA">
        <w:rPr>
          <w:rFonts w:eastAsiaTheme="minorEastAsia"/>
          <w:lang w:val="en-US"/>
        </w:rPr>
        <w:t>Institutional lockdowns were employe</w:t>
      </w:r>
      <w:r w:rsidR="005131B8">
        <w:rPr>
          <w:rFonts w:eastAsiaTheme="minorEastAsia"/>
          <w:lang w:val="en-US"/>
        </w:rPr>
        <w:t xml:space="preserve">d </w:t>
      </w:r>
      <w:r w:rsidRPr="7709A8AA">
        <w:rPr>
          <w:rFonts w:eastAsiaTheme="minorEastAsia"/>
          <w:lang w:val="en-US"/>
        </w:rPr>
        <w:t xml:space="preserve">during the COVID pandemic as an exceptional measure. </w:t>
      </w:r>
      <w:r w:rsidRPr="7709A8AA">
        <w:rPr>
          <w:rFonts w:eastAsiaTheme="minorEastAsia"/>
          <w:b/>
          <w:bCs/>
          <w:lang w:val="en-US"/>
        </w:rPr>
        <w:t>However, instead of becoming less frequent as the pandemic’s intensity waned, lockdowns at Burnside have been used repeatedly over the past two years to manage chronic short staffing, and recently, in apparent response to opioid overdoses.</w:t>
      </w:r>
    </w:p>
    <w:p w14:paraId="58BAF7A8" w14:textId="17BBCC4A" w:rsidR="006051D8" w:rsidRDefault="006051D8" w:rsidP="7709A8AA">
      <w:pPr>
        <w:rPr>
          <w:rFonts w:eastAsiaTheme="minorEastAsia"/>
          <w:lang w:val="en-US"/>
        </w:rPr>
      </w:pPr>
    </w:p>
    <w:p w14:paraId="16D047BB" w14:textId="6F766906" w:rsidR="00103648" w:rsidRPr="00103648" w:rsidRDefault="7709A8AA" w:rsidP="7709A8AA">
      <w:pPr>
        <w:rPr>
          <w:rFonts w:eastAsiaTheme="minorEastAsia"/>
          <w:lang w:val="en-US"/>
        </w:rPr>
      </w:pPr>
      <w:r w:rsidRPr="7709A8AA">
        <w:rPr>
          <w:rFonts w:eastAsiaTheme="minorEastAsia"/>
          <w:lang w:val="en-US"/>
        </w:rPr>
        <w:t xml:space="preserve">At Burnside, the majority of </w:t>
      </w:r>
      <w:r w:rsidRPr="7709A8AA">
        <w:rPr>
          <w:rFonts w:eastAsiaTheme="minorEastAsia"/>
        </w:rPr>
        <w:t>those affected by lockdowns are awaiting trial and presumed innocent.</w:t>
      </w:r>
      <w:r w:rsidRPr="7709A8AA">
        <w:rPr>
          <w:rFonts w:eastAsiaTheme="minorEastAsia"/>
          <w:lang w:val="en-US"/>
        </w:rPr>
        <w:t xml:space="preserve"> </w:t>
      </w:r>
      <w:r w:rsidRPr="7709A8AA">
        <w:rPr>
          <w:rFonts w:eastAsiaTheme="minorEastAsia"/>
          <w:b/>
          <w:bCs/>
          <w:lang w:val="en-US"/>
        </w:rPr>
        <w:t xml:space="preserve">Lockdowns disrupt correctional programming, spiritual practices, visits with friends and family, medical treatment, contact with lawyers, and access to external agencies, including the East Coast Prison Justice Society. According to one </w:t>
      </w:r>
      <w:r w:rsidR="005131B8">
        <w:rPr>
          <w:rFonts w:eastAsiaTheme="minorEastAsia"/>
          <w:b/>
          <w:bCs/>
          <w:lang w:val="en-US"/>
        </w:rPr>
        <w:t>of our callers</w:t>
      </w:r>
      <w:r w:rsidRPr="7709A8AA">
        <w:rPr>
          <w:rFonts w:eastAsiaTheme="minorEastAsia"/>
          <w:b/>
          <w:bCs/>
          <w:lang w:val="en-US"/>
        </w:rPr>
        <w:t>, “things are worse than they have ever been.”</w:t>
      </w:r>
      <w:r w:rsidRPr="7709A8AA">
        <w:rPr>
          <w:rFonts w:eastAsiaTheme="minorEastAsia"/>
          <w:lang w:val="en-US"/>
        </w:rPr>
        <w:t xml:space="preserve"> Over the past five months, callers to our line have reported: </w:t>
      </w:r>
    </w:p>
    <w:p w14:paraId="4CBF345D" w14:textId="77777777" w:rsidR="0070149B" w:rsidRDefault="0070149B" w:rsidP="7709A8AA">
      <w:pPr>
        <w:rPr>
          <w:rFonts w:eastAsiaTheme="minorEastAsia"/>
        </w:rPr>
      </w:pPr>
    </w:p>
    <w:p w14:paraId="0DC6F7B5" w14:textId="07C4DB7C" w:rsidR="005D0C2E" w:rsidRPr="005D0C2E" w:rsidRDefault="7709A8AA" w:rsidP="7709A8AA">
      <w:pPr>
        <w:numPr>
          <w:ilvl w:val="0"/>
          <w:numId w:val="4"/>
        </w:numPr>
        <w:rPr>
          <w:rFonts w:eastAsiaTheme="minorEastAsia"/>
        </w:rPr>
      </w:pPr>
      <w:r w:rsidRPr="7709A8AA">
        <w:rPr>
          <w:rFonts w:eastAsiaTheme="minorEastAsia"/>
        </w:rPr>
        <w:t>Up to 23 hours of daily cell confinement</w:t>
      </w:r>
    </w:p>
    <w:p w14:paraId="21174121" w14:textId="08E02CBD" w:rsidR="005D0C2E" w:rsidRPr="005D0C2E" w:rsidRDefault="7709A8AA" w:rsidP="7709A8AA">
      <w:pPr>
        <w:numPr>
          <w:ilvl w:val="0"/>
          <w:numId w:val="4"/>
        </w:numPr>
        <w:rPr>
          <w:rFonts w:eastAsiaTheme="minorEastAsia"/>
        </w:rPr>
      </w:pPr>
      <w:r w:rsidRPr="7709A8AA">
        <w:rPr>
          <w:rFonts w:eastAsiaTheme="minorEastAsia"/>
        </w:rPr>
        <w:t>Lockdown conditions lasting for weeks at a time</w:t>
      </w:r>
    </w:p>
    <w:p w14:paraId="142A4A7C" w14:textId="0E785376" w:rsidR="005D0C2E" w:rsidRDefault="7709A8AA" w:rsidP="7709A8AA">
      <w:pPr>
        <w:numPr>
          <w:ilvl w:val="0"/>
          <w:numId w:val="4"/>
        </w:numPr>
        <w:rPr>
          <w:rFonts w:eastAsiaTheme="minorEastAsia"/>
        </w:rPr>
      </w:pPr>
      <w:r w:rsidRPr="7709A8AA">
        <w:rPr>
          <w:rFonts w:eastAsiaTheme="minorEastAsia"/>
        </w:rPr>
        <w:t>Limited access to health care services, spiritual practices, and personal hygiene supplies</w:t>
      </w:r>
    </w:p>
    <w:p w14:paraId="2BAABB93" w14:textId="1C7FC581" w:rsidR="00017B4D" w:rsidRPr="00114159" w:rsidRDefault="7709A8AA" w:rsidP="7709A8AA">
      <w:pPr>
        <w:numPr>
          <w:ilvl w:val="0"/>
          <w:numId w:val="4"/>
        </w:numPr>
        <w:rPr>
          <w:rFonts w:eastAsiaTheme="minorEastAsia"/>
          <w:lang w:val="en-US"/>
        </w:rPr>
      </w:pPr>
      <w:r w:rsidRPr="7709A8AA">
        <w:rPr>
          <w:rFonts w:eastAsiaTheme="minorEastAsia"/>
          <w:lang w:val="en-US"/>
        </w:rPr>
        <w:t>Lack of access to showers and clean clothes</w:t>
      </w:r>
    </w:p>
    <w:p w14:paraId="20AA1404" w14:textId="38189111" w:rsidR="7709A8AA" w:rsidRDefault="7709A8AA" w:rsidP="7709A8AA">
      <w:pPr>
        <w:numPr>
          <w:ilvl w:val="0"/>
          <w:numId w:val="4"/>
        </w:numPr>
        <w:rPr>
          <w:rFonts w:eastAsiaTheme="minorEastAsia"/>
        </w:rPr>
      </w:pPr>
      <w:r w:rsidRPr="7709A8AA">
        <w:rPr>
          <w:rFonts w:eastAsiaTheme="minorEastAsia"/>
        </w:rPr>
        <w:t>Limited phone access, hindering legal preparations</w:t>
      </w:r>
      <w:r w:rsidR="008A1356">
        <w:rPr>
          <w:rFonts w:eastAsiaTheme="minorEastAsia"/>
        </w:rPr>
        <w:t xml:space="preserve"> and reporting of </w:t>
      </w:r>
      <w:r w:rsidR="00FB0C3A">
        <w:rPr>
          <w:rFonts w:eastAsiaTheme="minorEastAsia"/>
        </w:rPr>
        <w:t>conditions of confinement</w:t>
      </w:r>
      <w:r w:rsidR="008A1356">
        <w:rPr>
          <w:rFonts w:eastAsiaTheme="minorEastAsia"/>
        </w:rPr>
        <w:t xml:space="preserve"> </w:t>
      </w:r>
      <w:r w:rsidR="006167F4">
        <w:rPr>
          <w:rFonts w:eastAsiaTheme="minorEastAsia"/>
        </w:rPr>
        <w:t xml:space="preserve">to external agencies </w:t>
      </w:r>
    </w:p>
    <w:p w14:paraId="21999898" w14:textId="77777777" w:rsidR="00114159" w:rsidRPr="005D0C2E" w:rsidRDefault="00114159" w:rsidP="7709A8AA">
      <w:pPr>
        <w:ind w:left="720"/>
        <w:rPr>
          <w:rFonts w:eastAsiaTheme="minorEastAsia"/>
        </w:rPr>
      </w:pPr>
    </w:p>
    <w:p w14:paraId="1517A7C0" w14:textId="0E3C9D69" w:rsidR="00686018" w:rsidRDefault="7709A8AA" w:rsidP="7709A8AA">
      <w:pPr>
        <w:rPr>
          <w:rFonts w:eastAsiaTheme="minorEastAsia"/>
        </w:rPr>
      </w:pPr>
      <w:r w:rsidRPr="7709A8AA">
        <w:rPr>
          <w:rFonts w:eastAsiaTheme="minorEastAsia"/>
          <w:b/>
          <w:bCs/>
        </w:rPr>
        <w:t>Courts in Nova Scotia have likewise displayed increasing alarm over lockdown conditions.</w:t>
      </w:r>
      <w:r w:rsidRPr="7709A8AA">
        <w:rPr>
          <w:rFonts w:eastAsiaTheme="minorEastAsia"/>
        </w:rPr>
        <w:t xml:space="preserve"> In a recent court decision</w:t>
      </w:r>
      <w:r w:rsidRPr="7709A8AA">
        <w:rPr>
          <w:rFonts w:eastAsiaTheme="minorEastAsia"/>
          <w:i/>
          <w:iCs/>
        </w:rPr>
        <w:t>,</w:t>
      </w:r>
      <w:r w:rsidRPr="7709A8AA">
        <w:rPr>
          <w:rFonts w:eastAsiaTheme="minorEastAsia"/>
        </w:rPr>
        <w:t xml:space="preserve"> Justice Brothers firmly denounced the routine use of lockdowns at Burnside</w:t>
      </w:r>
      <w:r w:rsidR="00F11B54">
        <w:rPr>
          <w:rFonts w:eastAsiaTheme="minorEastAsia"/>
        </w:rPr>
        <w:t xml:space="preserve"> in </w:t>
      </w:r>
      <w:r w:rsidR="00F11B54" w:rsidRPr="7709A8AA">
        <w:rPr>
          <w:rFonts w:eastAsiaTheme="minorEastAsia"/>
          <w:i/>
          <w:iCs/>
        </w:rPr>
        <w:t>Downey v Nova Scotia (Attorney General)</w:t>
      </w:r>
      <w:r w:rsidR="00F11B54" w:rsidRPr="7709A8AA">
        <w:rPr>
          <w:rFonts w:eastAsiaTheme="minorEastAsia"/>
        </w:rPr>
        <w:t xml:space="preserve">, </w:t>
      </w:r>
      <w:hyperlink r:id="rId6">
        <w:r w:rsidR="00F11B54" w:rsidRPr="7709A8AA">
          <w:rPr>
            <w:rStyle w:val="Hyperlink"/>
            <w:rFonts w:eastAsiaTheme="minorEastAsia"/>
          </w:rPr>
          <w:t>2023 NSSC 204</w:t>
        </w:r>
      </w:hyperlink>
      <w:r w:rsidRPr="7709A8AA">
        <w:rPr>
          <w:rFonts w:eastAsiaTheme="minorEastAsia"/>
        </w:rPr>
        <w:t>, remarking</w:t>
      </w:r>
      <w:r w:rsidR="00F11B54">
        <w:rPr>
          <w:rFonts w:eastAsiaTheme="minorEastAsia"/>
        </w:rPr>
        <w:t xml:space="preserve"> at para 94</w:t>
      </w:r>
      <w:r w:rsidRPr="7709A8AA">
        <w:rPr>
          <w:rFonts w:eastAsiaTheme="minorEastAsia"/>
        </w:rPr>
        <w:t>:</w:t>
      </w:r>
    </w:p>
    <w:p w14:paraId="42639AF0" w14:textId="77777777" w:rsidR="00686018" w:rsidRDefault="00686018" w:rsidP="7709A8AA">
      <w:pPr>
        <w:rPr>
          <w:rFonts w:eastAsiaTheme="minorEastAsia"/>
        </w:rPr>
      </w:pPr>
    </w:p>
    <w:p w14:paraId="08F166D4" w14:textId="3FE1AFF3" w:rsidR="00686018" w:rsidRDefault="005E40B7" w:rsidP="7709A8AA">
      <w:pPr>
        <w:ind w:left="720"/>
        <w:rPr>
          <w:rFonts w:eastAsiaTheme="minorEastAsia"/>
        </w:rPr>
      </w:pPr>
      <w:r>
        <w:rPr>
          <w:rFonts w:eastAsiaTheme="minorEastAsia"/>
        </w:rPr>
        <w:t>“</w:t>
      </w:r>
      <w:r w:rsidR="7709A8AA" w:rsidRPr="7709A8AA">
        <w:rPr>
          <w:rFonts w:eastAsiaTheme="minorEastAsia"/>
        </w:rPr>
        <w:t>Confining persons in custody – many of whom may have pre-existing mental health issues – to their cells for exorbitant periods of time does nothing to assist and support their rehabilitation... Even a person with robust mental health would find it challenging to be regularly confined to a cell, often for more than 20 hours per day, with little notice and no ability to earn more time out. This practice is dehumanizing, and it is setting these individuals up to fail. They deserve better.</w:t>
      </w:r>
      <w:r>
        <w:rPr>
          <w:rFonts w:eastAsiaTheme="minorEastAsia"/>
        </w:rPr>
        <w:t>”</w:t>
      </w:r>
      <w:r w:rsidR="7709A8AA" w:rsidRPr="7709A8AA">
        <w:rPr>
          <w:rFonts w:eastAsiaTheme="minorEastAsia"/>
        </w:rPr>
        <w:t>  </w:t>
      </w:r>
    </w:p>
    <w:p w14:paraId="1616AE8B" w14:textId="7C2B1B2E" w:rsidR="00D4181F" w:rsidRDefault="00D4181F" w:rsidP="7709A8AA">
      <w:pPr>
        <w:rPr>
          <w:rFonts w:eastAsiaTheme="minorEastAsia"/>
        </w:rPr>
      </w:pPr>
    </w:p>
    <w:p w14:paraId="78E333D3" w14:textId="3FEF1D7E" w:rsidR="00686018" w:rsidRDefault="7709A8AA" w:rsidP="7709A8AA">
      <w:pPr>
        <w:rPr>
          <w:rFonts w:eastAsiaTheme="minorEastAsia"/>
        </w:rPr>
      </w:pPr>
      <w:r w:rsidRPr="7709A8AA">
        <w:rPr>
          <w:rFonts w:eastAsiaTheme="minorEastAsia"/>
        </w:rPr>
        <w:t xml:space="preserve">We agree. </w:t>
      </w:r>
      <w:r w:rsidRPr="7709A8AA">
        <w:rPr>
          <w:rFonts w:eastAsiaTheme="minorEastAsia"/>
          <w:lang w:val="en-US"/>
        </w:rPr>
        <w:t xml:space="preserve">The United Nations’ Standard Minimum Rules for the Treatment of Prisoners define solitary confinement as the confinement of prisoners for 22 hours or more a day without meaningful human contact. </w:t>
      </w:r>
      <w:r w:rsidRPr="7709A8AA">
        <w:rPr>
          <w:rFonts w:eastAsiaTheme="minorEastAsia"/>
        </w:rPr>
        <w:t xml:space="preserve">Indefinite solitary confinement and confinement for longer than 15 days amounts to torture, cruel, inhuman or degrading treatment under international human rights conventions. The ongoing use of lockdowns is especially troubling considering that over 75% of the </w:t>
      </w:r>
      <w:r w:rsidR="005E40B7">
        <w:rPr>
          <w:rFonts w:eastAsiaTheme="minorEastAsia"/>
        </w:rPr>
        <w:t xml:space="preserve">provincial </w:t>
      </w:r>
      <w:r w:rsidRPr="7709A8AA">
        <w:rPr>
          <w:rFonts w:eastAsiaTheme="minorEastAsia"/>
        </w:rPr>
        <w:t xml:space="preserve">prisoner population in Nova Scotia are </w:t>
      </w:r>
      <w:r w:rsidR="005E40B7">
        <w:rPr>
          <w:rFonts w:eastAsiaTheme="minorEastAsia"/>
        </w:rPr>
        <w:t xml:space="preserve">in jail </w:t>
      </w:r>
      <w:r w:rsidRPr="7709A8AA">
        <w:rPr>
          <w:rFonts w:eastAsiaTheme="minorEastAsia"/>
        </w:rPr>
        <w:t>awaiting</w:t>
      </w:r>
      <w:r w:rsidR="005E40B7">
        <w:rPr>
          <w:rFonts w:eastAsiaTheme="minorEastAsia"/>
        </w:rPr>
        <w:t xml:space="preserve"> </w:t>
      </w:r>
      <w:r w:rsidRPr="7709A8AA">
        <w:rPr>
          <w:rFonts w:eastAsiaTheme="minorEastAsia"/>
        </w:rPr>
        <w:t>trial.</w:t>
      </w:r>
      <w:r w:rsidR="005E40B7">
        <w:rPr>
          <w:rFonts w:eastAsiaTheme="minorEastAsia"/>
        </w:rPr>
        <w:t xml:space="preserve"> No one deserves this treatment, particularly not those presumed innocent of charges and denied pre-trial release for reasons often as simple as a lack of community housing and other supports.</w:t>
      </w:r>
      <w:r w:rsidRPr="7709A8AA">
        <w:rPr>
          <w:rFonts w:eastAsiaTheme="minorEastAsia"/>
        </w:rPr>
        <w:t xml:space="preserve"> </w:t>
      </w:r>
    </w:p>
    <w:p w14:paraId="66EE4CA9" w14:textId="77777777" w:rsidR="00F57768" w:rsidRPr="00686018" w:rsidRDefault="00F57768" w:rsidP="7709A8AA">
      <w:pPr>
        <w:rPr>
          <w:rFonts w:eastAsiaTheme="minorEastAsia"/>
        </w:rPr>
      </w:pPr>
    </w:p>
    <w:p w14:paraId="3474E813" w14:textId="28F494CC" w:rsidR="00F57768" w:rsidRPr="00F57768" w:rsidRDefault="7709A8AA" w:rsidP="7709A8AA">
      <w:pPr>
        <w:rPr>
          <w:rFonts w:eastAsiaTheme="minorEastAsia"/>
          <w:b/>
          <w:bCs/>
          <w:lang w:val="en-US"/>
        </w:rPr>
      </w:pPr>
      <w:r w:rsidRPr="7709A8AA">
        <w:rPr>
          <w:rFonts w:eastAsiaTheme="minorEastAsia"/>
          <w:b/>
          <w:bCs/>
          <w:lang w:val="en-US"/>
        </w:rPr>
        <w:t xml:space="preserve">We recognize that the routine use of institutional lockdowns is a complex problem requiring a coordinated solution. Corrections alone cannot solve this problem. The solution requires a concerted </w:t>
      </w:r>
      <w:r w:rsidR="005E40B7">
        <w:rPr>
          <w:rFonts w:eastAsiaTheme="minorEastAsia"/>
          <w:b/>
          <w:bCs/>
          <w:lang w:val="en-US"/>
        </w:rPr>
        <w:t xml:space="preserve">intersectoral </w:t>
      </w:r>
      <w:r w:rsidRPr="7709A8AA">
        <w:rPr>
          <w:rFonts w:eastAsiaTheme="minorEastAsia"/>
          <w:b/>
          <w:bCs/>
          <w:lang w:val="en-US"/>
        </w:rPr>
        <w:t>effort to safely reduce the operational burdens faced by corrections.</w:t>
      </w:r>
    </w:p>
    <w:p w14:paraId="066E833E" w14:textId="3F48252E" w:rsidR="00686018" w:rsidRPr="00686018" w:rsidRDefault="00686018" w:rsidP="7709A8AA">
      <w:pPr>
        <w:rPr>
          <w:rFonts w:eastAsiaTheme="minorEastAsia"/>
        </w:rPr>
      </w:pPr>
    </w:p>
    <w:p w14:paraId="27972C5A" w14:textId="6E7B7B1D" w:rsidR="00BE3DDA" w:rsidRDefault="7709A8AA" w:rsidP="7709A8AA">
      <w:pPr>
        <w:rPr>
          <w:rFonts w:eastAsiaTheme="minorEastAsia"/>
        </w:rPr>
      </w:pPr>
      <w:r w:rsidRPr="7709A8AA">
        <w:rPr>
          <w:rFonts w:eastAsiaTheme="minorEastAsia"/>
        </w:rPr>
        <w:t xml:space="preserve">We recommend solutions that focus on getting people out of </w:t>
      </w:r>
      <w:r w:rsidR="005E40B7">
        <w:rPr>
          <w:rFonts w:eastAsiaTheme="minorEastAsia"/>
        </w:rPr>
        <w:t>provincial jails</w:t>
      </w:r>
      <w:r w:rsidRPr="7709A8AA">
        <w:rPr>
          <w:rFonts w:eastAsiaTheme="minorEastAsia"/>
        </w:rPr>
        <w:t xml:space="preserve"> in ways that are safe for the community. Over 40% of the provincially incarcerated population was released in March and April of 2020. Working with community partners, correctional services released prisoners</w:t>
      </w:r>
      <w:r w:rsidR="005E40B7">
        <w:rPr>
          <w:rFonts w:eastAsiaTheme="minorEastAsia"/>
        </w:rPr>
        <w:t xml:space="preserve">, with some going </w:t>
      </w:r>
      <w:r w:rsidRPr="7709A8AA">
        <w:rPr>
          <w:rFonts w:eastAsiaTheme="minorEastAsia"/>
        </w:rPr>
        <w:t xml:space="preserve">to new </w:t>
      </w:r>
      <w:r w:rsidR="005E40B7">
        <w:rPr>
          <w:rFonts w:eastAsiaTheme="minorEastAsia"/>
        </w:rPr>
        <w:t xml:space="preserve">supported </w:t>
      </w:r>
      <w:r w:rsidRPr="7709A8AA">
        <w:rPr>
          <w:rFonts w:eastAsiaTheme="minorEastAsia"/>
        </w:rPr>
        <w:t xml:space="preserve">community residency </w:t>
      </w:r>
      <w:r w:rsidR="005E40B7">
        <w:rPr>
          <w:rFonts w:eastAsiaTheme="minorEastAsia"/>
        </w:rPr>
        <w:t>options</w:t>
      </w:r>
      <w:r w:rsidRPr="7709A8AA">
        <w:rPr>
          <w:rFonts w:eastAsiaTheme="minorEastAsia"/>
        </w:rPr>
        <w:t xml:space="preserve">. </w:t>
      </w:r>
      <w:r w:rsidR="005E40B7">
        <w:rPr>
          <w:rFonts w:eastAsiaTheme="minorEastAsia"/>
        </w:rPr>
        <w:t xml:space="preserve">These </w:t>
      </w:r>
      <w:r w:rsidRPr="7709A8AA">
        <w:rPr>
          <w:rFonts w:eastAsiaTheme="minorEastAsia"/>
        </w:rPr>
        <w:t>n</w:t>
      </w:r>
      <w:r w:rsidR="005E40B7">
        <w:rPr>
          <w:rFonts w:eastAsiaTheme="minorEastAsia"/>
        </w:rPr>
        <w:t>ew</w:t>
      </w:r>
      <w:r w:rsidRPr="7709A8AA">
        <w:rPr>
          <w:rFonts w:eastAsiaTheme="minorEastAsia"/>
        </w:rPr>
        <w:t xml:space="preserve"> community options proved successful even for people with the most complex needs. </w:t>
      </w:r>
    </w:p>
    <w:p w14:paraId="3FAF26D8" w14:textId="3D721153" w:rsidR="007C1DE4" w:rsidRDefault="007C1DE4" w:rsidP="7709A8AA">
      <w:pPr>
        <w:rPr>
          <w:rFonts w:eastAsiaTheme="minorEastAsia"/>
        </w:rPr>
      </w:pPr>
    </w:p>
    <w:p w14:paraId="01AE7828" w14:textId="41350401" w:rsidR="007C1DE4" w:rsidRDefault="009648CC" w:rsidP="7709A8AA">
      <w:pPr>
        <w:rPr>
          <w:rFonts w:eastAsiaTheme="minorEastAsia"/>
        </w:rPr>
      </w:pPr>
      <w:r>
        <w:rPr>
          <w:rFonts w:eastAsiaTheme="minorEastAsia"/>
        </w:rPr>
        <w:t xml:space="preserve">Beyond the list of recommendations for curtailing lockdowns in our </w:t>
      </w:r>
      <w:hyperlink r:id="rId7" w:history="1">
        <w:r w:rsidRPr="00F11B54">
          <w:rPr>
            <w:rStyle w:val="Hyperlink"/>
            <w:rFonts w:eastAsiaTheme="minorEastAsia"/>
          </w:rPr>
          <w:t>2021-22 Visiting Committee Report</w:t>
        </w:r>
      </w:hyperlink>
      <w:r>
        <w:rPr>
          <w:rFonts w:eastAsiaTheme="minorEastAsia"/>
        </w:rPr>
        <w:t>, t</w:t>
      </w:r>
      <w:r w:rsidR="7709A8AA" w:rsidRPr="7709A8AA">
        <w:rPr>
          <w:rFonts w:eastAsiaTheme="minorEastAsia"/>
        </w:rPr>
        <w:t xml:space="preserve">wo additional solutions we have recommended previously in </w:t>
      </w:r>
      <w:r w:rsidR="005E40B7">
        <w:rPr>
          <w:rFonts w:eastAsiaTheme="minorEastAsia"/>
        </w:rPr>
        <w:t xml:space="preserve">relation to </w:t>
      </w:r>
      <w:r w:rsidR="7709A8AA" w:rsidRPr="7709A8AA">
        <w:rPr>
          <w:rFonts w:eastAsiaTheme="minorEastAsia"/>
        </w:rPr>
        <w:t>pandemic lockdowns are as follows: </w:t>
      </w:r>
    </w:p>
    <w:p w14:paraId="6DB79E42" w14:textId="77777777" w:rsidR="007C1DE4" w:rsidRPr="007C1DE4" w:rsidRDefault="007C1DE4" w:rsidP="7709A8AA">
      <w:pPr>
        <w:rPr>
          <w:rFonts w:eastAsiaTheme="minorEastAsia"/>
        </w:rPr>
      </w:pPr>
    </w:p>
    <w:p w14:paraId="1D4443F1" w14:textId="3EB29BCA" w:rsidR="007C1DE4" w:rsidRPr="007C1DE4" w:rsidRDefault="7709A8AA" w:rsidP="7709A8AA">
      <w:pPr>
        <w:numPr>
          <w:ilvl w:val="0"/>
          <w:numId w:val="6"/>
        </w:numPr>
        <w:rPr>
          <w:rFonts w:eastAsiaTheme="minorEastAsia"/>
        </w:rPr>
      </w:pPr>
      <w:r w:rsidRPr="7709A8AA">
        <w:rPr>
          <w:rFonts w:eastAsiaTheme="minorEastAsia"/>
        </w:rPr>
        <w:t xml:space="preserve">In the case of sentenced prisoners, </w:t>
      </w:r>
      <w:r w:rsidR="008E7033">
        <w:rPr>
          <w:rFonts w:eastAsiaTheme="minorEastAsia"/>
        </w:rPr>
        <w:t xml:space="preserve">use </w:t>
      </w:r>
      <w:r w:rsidR="005E40B7">
        <w:rPr>
          <w:rFonts w:eastAsiaTheme="minorEastAsia"/>
        </w:rPr>
        <w:t xml:space="preserve">s.80 of the </w:t>
      </w:r>
      <w:r w:rsidR="005E40B7" w:rsidRPr="00F11B54">
        <w:rPr>
          <w:rFonts w:eastAsiaTheme="minorEastAsia"/>
          <w:i/>
          <w:iCs/>
        </w:rPr>
        <w:t>Correctional Service</w:t>
      </w:r>
      <w:r w:rsidR="00F11B54" w:rsidRPr="00F11B54">
        <w:rPr>
          <w:rFonts w:eastAsiaTheme="minorEastAsia"/>
          <w:i/>
          <w:iCs/>
        </w:rPr>
        <w:t>s</w:t>
      </w:r>
      <w:r w:rsidR="005E40B7" w:rsidRPr="00F11B54">
        <w:rPr>
          <w:rFonts w:eastAsiaTheme="minorEastAsia"/>
          <w:i/>
          <w:iCs/>
        </w:rPr>
        <w:t xml:space="preserve"> Act</w:t>
      </w:r>
      <w:r w:rsidR="005E40B7">
        <w:rPr>
          <w:rFonts w:eastAsiaTheme="minorEastAsia"/>
        </w:rPr>
        <w:t xml:space="preserve"> </w:t>
      </w:r>
      <w:r w:rsidR="00465B35">
        <w:rPr>
          <w:rFonts w:eastAsiaTheme="minorEastAsia"/>
        </w:rPr>
        <w:t>to grant</w:t>
      </w:r>
      <w:r w:rsidR="005E40B7">
        <w:rPr>
          <w:rFonts w:eastAsiaTheme="minorEastAsia"/>
        </w:rPr>
        <w:t xml:space="preserve"> </w:t>
      </w:r>
      <w:r w:rsidR="00465B35">
        <w:rPr>
          <w:rFonts w:eastAsiaTheme="minorEastAsia"/>
        </w:rPr>
        <w:t xml:space="preserve">individuals </w:t>
      </w:r>
      <w:r w:rsidRPr="7709A8AA">
        <w:rPr>
          <w:rFonts w:eastAsiaTheme="minorEastAsia"/>
        </w:rPr>
        <w:t>conditional release for “medical reasons” or “humanitarian reasons</w:t>
      </w:r>
      <w:r w:rsidR="008E7033">
        <w:rPr>
          <w:rFonts w:eastAsiaTheme="minorEastAsia"/>
        </w:rPr>
        <w:t>”</w:t>
      </w:r>
      <w:r w:rsidRPr="7709A8AA">
        <w:rPr>
          <w:rFonts w:eastAsiaTheme="minorEastAsia"/>
        </w:rPr>
        <w:t>.   </w:t>
      </w:r>
    </w:p>
    <w:p w14:paraId="5EEF2AE0" w14:textId="4E8066EB" w:rsidR="007C1DE4" w:rsidRPr="007C1DE4" w:rsidRDefault="005E40B7" w:rsidP="7709A8AA">
      <w:pPr>
        <w:numPr>
          <w:ilvl w:val="0"/>
          <w:numId w:val="7"/>
        </w:numPr>
        <w:rPr>
          <w:rFonts w:eastAsiaTheme="minorEastAsia"/>
        </w:rPr>
      </w:pPr>
      <w:r>
        <w:rPr>
          <w:rFonts w:eastAsiaTheme="minorEastAsia"/>
        </w:rPr>
        <w:t xml:space="preserve">To reduce </w:t>
      </w:r>
      <w:r w:rsidR="00465B35">
        <w:rPr>
          <w:rFonts w:eastAsiaTheme="minorEastAsia"/>
        </w:rPr>
        <w:t xml:space="preserve">the </w:t>
      </w:r>
      <w:r>
        <w:rPr>
          <w:rFonts w:eastAsiaTheme="minorEastAsia"/>
        </w:rPr>
        <w:t>number</w:t>
      </w:r>
      <w:r w:rsidR="00465B35">
        <w:rPr>
          <w:rFonts w:eastAsiaTheme="minorEastAsia"/>
        </w:rPr>
        <w:t xml:space="preserve"> </w:t>
      </w:r>
      <w:r>
        <w:rPr>
          <w:rFonts w:eastAsiaTheme="minorEastAsia"/>
        </w:rPr>
        <w:t>of</w:t>
      </w:r>
      <w:r w:rsidR="7709A8AA" w:rsidRPr="7709A8AA">
        <w:rPr>
          <w:rFonts w:eastAsiaTheme="minorEastAsia"/>
        </w:rPr>
        <w:t xml:space="preserve"> prisoners on remand</w:t>
      </w:r>
      <w:r>
        <w:rPr>
          <w:rFonts w:eastAsiaTheme="minorEastAsia"/>
        </w:rPr>
        <w:t>,</w:t>
      </w:r>
      <w:r w:rsidR="7709A8AA" w:rsidRPr="7709A8AA">
        <w:rPr>
          <w:rFonts w:eastAsiaTheme="minorEastAsia"/>
        </w:rPr>
        <w:t xml:space="preserve"> police should make liberal use of their powers of release post-charge</w:t>
      </w:r>
      <w:r w:rsidR="00D05CFA">
        <w:rPr>
          <w:rFonts w:eastAsiaTheme="minorEastAsia"/>
        </w:rPr>
        <w:t xml:space="preserve"> (for instance, on a promise to appear)</w:t>
      </w:r>
      <w:r w:rsidR="7709A8AA" w:rsidRPr="7709A8AA">
        <w:rPr>
          <w:rFonts w:eastAsiaTheme="minorEastAsia"/>
        </w:rPr>
        <w:t>, while prosecutors and other justice officials should similarly take all measures possible to avoid unnecessary detention. </w:t>
      </w:r>
    </w:p>
    <w:p w14:paraId="5C0F635C" w14:textId="77777777" w:rsidR="007C1DE4" w:rsidRPr="00BE3DDA" w:rsidRDefault="007C1DE4" w:rsidP="7709A8AA">
      <w:pPr>
        <w:rPr>
          <w:rFonts w:eastAsiaTheme="minorEastAsia"/>
        </w:rPr>
      </w:pPr>
    </w:p>
    <w:p w14:paraId="176C1D25" w14:textId="36E911F4" w:rsidR="00B03FC2" w:rsidRDefault="7709A8AA" w:rsidP="7709A8AA">
      <w:pPr>
        <w:rPr>
          <w:rFonts w:eastAsiaTheme="minorEastAsia"/>
          <w:b/>
          <w:bCs/>
          <w:color w:val="000000" w:themeColor="text1"/>
        </w:rPr>
      </w:pPr>
      <w:r w:rsidRPr="7709A8AA">
        <w:rPr>
          <w:rFonts w:eastAsiaTheme="minorEastAsia"/>
          <w:b/>
          <w:bCs/>
        </w:rPr>
        <w:t>The conditions at Burnside are intolerable. As one caller remarked, "It's like you're not human in here, like you don't exist." Another caller observed that lockdowns are “</w:t>
      </w:r>
      <w:r w:rsidRPr="7709A8AA">
        <w:rPr>
          <w:rFonts w:eastAsiaTheme="minorEastAsia"/>
          <w:b/>
          <w:bCs/>
          <w:color w:val="000000" w:themeColor="text1"/>
          <w:lang w:val="en-US"/>
        </w:rPr>
        <w:t>putting stress on the inmates and the guards. You can feel the tension. It’s a zoo.”</w:t>
      </w:r>
    </w:p>
    <w:p w14:paraId="6E6CD1DF" w14:textId="310F0FF5" w:rsidR="00B03FC2" w:rsidRDefault="00B03FC2" w:rsidP="7709A8AA">
      <w:pPr>
        <w:rPr>
          <w:rFonts w:eastAsiaTheme="minorEastAsia"/>
        </w:rPr>
      </w:pPr>
    </w:p>
    <w:p w14:paraId="057DD376" w14:textId="7711065C" w:rsidR="00B03FC2" w:rsidRDefault="7709A8AA" w:rsidP="7709A8AA">
      <w:pPr>
        <w:rPr>
          <w:rFonts w:eastAsiaTheme="minorEastAsia"/>
        </w:rPr>
      </w:pPr>
      <w:r w:rsidRPr="7709A8AA">
        <w:rPr>
          <w:rFonts w:eastAsiaTheme="minorEastAsia"/>
        </w:rPr>
        <w:t xml:space="preserve">While recognizing the complex systemic issues contributing to these conditions, we urge politicians and officials across the justice and corrections systems to address this pressing issue. As Justice Brothers </w:t>
      </w:r>
      <w:r w:rsidR="005E40B7">
        <w:rPr>
          <w:rFonts w:eastAsiaTheme="minorEastAsia"/>
        </w:rPr>
        <w:t>stated</w:t>
      </w:r>
      <w:r w:rsidRPr="7709A8AA">
        <w:rPr>
          <w:rFonts w:eastAsiaTheme="minorEastAsia"/>
        </w:rPr>
        <w:t>, they deserve better.</w:t>
      </w:r>
      <w:r w:rsidR="005E40B7">
        <w:rPr>
          <w:rFonts w:eastAsiaTheme="minorEastAsia"/>
        </w:rPr>
        <w:t xml:space="preserve"> We all do.</w:t>
      </w:r>
      <w:r w:rsidRPr="7709A8AA">
        <w:rPr>
          <w:rFonts w:eastAsiaTheme="minorEastAsia"/>
        </w:rPr>
        <w:t xml:space="preserve"> </w:t>
      </w:r>
    </w:p>
    <w:p w14:paraId="0D7F8F92" w14:textId="777E87FF" w:rsidR="7709A8AA" w:rsidRDefault="7709A8AA" w:rsidP="7709A8AA">
      <w:pPr>
        <w:rPr>
          <w:rFonts w:eastAsiaTheme="minorEastAsia"/>
        </w:rPr>
      </w:pPr>
    </w:p>
    <w:p w14:paraId="6188511B" w14:textId="527BCB5B" w:rsidR="7709A8AA" w:rsidRDefault="7709A8AA" w:rsidP="7709A8AA">
      <w:pPr>
        <w:spacing w:line="259" w:lineRule="auto"/>
        <w:rPr>
          <w:rFonts w:eastAsiaTheme="minorEastAsia"/>
        </w:rPr>
      </w:pPr>
      <w:r w:rsidRPr="7709A8AA">
        <w:rPr>
          <w:rFonts w:eastAsiaTheme="minorEastAsia"/>
        </w:rPr>
        <w:t xml:space="preserve">PRESS CONTACT INFORMATION: </w:t>
      </w:r>
    </w:p>
    <w:p w14:paraId="37A5DCFB" w14:textId="701CCEB4" w:rsidR="7709A8AA" w:rsidRDefault="7709A8AA" w:rsidP="7709A8AA">
      <w:pPr>
        <w:spacing w:line="259" w:lineRule="auto"/>
        <w:rPr>
          <w:rFonts w:eastAsiaTheme="minorEastAsia"/>
        </w:rPr>
      </w:pPr>
    </w:p>
    <w:p w14:paraId="635955E3" w14:textId="5417EF8F" w:rsidR="7709A8AA" w:rsidRDefault="7709A8AA" w:rsidP="7709A8AA">
      <w:pPr>
        <w:spacing w:line="259" w:lineRule="auto"/>
        <w:rPr>
          <w:rFonts w:eastAsiaTheme="minorEastAsia"/>
        </w:rPr>
      </w:pPr>
      <w:r w:rsidRPr="7709A8AA">
        <w:rPr>
          <w:rFonts w:eastAsiaTheme="minorEastAsia"/>
        </w:rPr>
        <w:t xml:space="preserve">Harry Critchley, ECPJS </w:t>
      </w:r>
      <w:r w:rsidR="005D6FE5">
        <w:rPr>
          <w:rFonts w:eastAsiaTheme="minorEastAsia"/>
        </w:rPr>
        <w:t xml:space="preserve">Co-Chair </w:t>
      </w:r>
      <w:r w:rsidR="00F11B54">
        <w:rPr>
          <w:rFonts w:eastAsiaTheme="minorEastAsia"/>
        </w:rPr>
        <w:t>–</w:t>
      </w:r>
      <w:r w:rsidRPr="7709A8AA">
        <w:rPr>
          <w:rFonts w:eastAsiaTheme="minorEastAsia"/>
        </w:rPr>
        <w:t xml:space="preserve"> </w:t>
      </w:r>
      <w:hyperlink r:id="rId8" w:history="1">
        <w:r w:rsidR="00F11B54" w:rsidRPr="002707CC">
          <w:rPr>
            <w:rStyle w:val="Hyperlink"/>
            <w:rFonts w:eastAsiaTheme="minorEastAsia"/>
          </w:rPr>
          <w:t>Harrington.critchley@gmail.com</w:t>
        </w:r>
      </w:hyperlink>
    </w:p>
    <w:p w14:paraId="3DFAC23D" w14:textId="3BECB459" w:rsidR="00F11B54" w:rsidRDefault="00F11B54" w:rsidP="7709A8AA">
      <w:pPr>
        <w:spacing w:line="259" w:lineRule="auto"/>
        <w:rPr>
          <w:rFonts w:eastAsiaTheme="minorEastAsia"/>
        </w:rPr>
      </w:pPr>
      <w:r>
        <w:rPr>
          <w:rFonts w:eastAsiaTheme="minorEastAsia"/>
        </w:rPr>
        <w:t xml:space="preserve">Sheila Wildeman, ECPJS Co-Chair – </w:t>
      </w:r>
      <w:hyperlink r:id="rId9" w:history="1">
        <w:r w:rsidRPr="002707CC">
          <w:rPr>
            <w:rStyle w:val="Hyperlink"/>
            <w:rFonts w:eastAsiaTheme="minorEastAsia"/>
          </w:rPr>
          <w:t>Sheila.wildeman@dal.ca</w:t>
        </w:r>
      </w:hyperlink>
      <w:r>
        <w:rPr>
          <w:rFonts w:eastAsiaTheme="minorEastAsia"/>
        </w:rPr>
        <w:t xml:space="preserve">  </w:t>
      </w:r>
    </w:p>
    <w:p w14:paraId="4140DF11" w14:textId="6A4BAFA4" w:rsidR="7709A8AA" w:rsidRDefault="7709A8AA" w:rsidP="7709A8AA">
      <w:pPr>
        <w:spacing w:line="259" w:lineRule="auto"/>
        <w:rPr>
          <w:rFonts w:eastAsiaTheme="minorEastAsia"/>
        </w:rPr>
      </w:pPr>
      <w:r w:rsidRPr="7709A8AA">
        <w:rPr>
          <w:rFonts w:eastAsiaTheme="minorEastAsia"/>
        </w:rPr>
        <w:t xml:space="preserve">Laura Beach, ECPJS Visiting Committee Coordinator – </w:t>
      </w:r>
      <w:hyperlink r:id="rId10">
        <w:r w:rsidRPr="7709A8AA">
          <w:rPr>
            <w:rStyle w:val="Hyperlink"/>
            <w:rFonts w:eastAsiaTheme="minorEastAsia"/>
          </w:rPr>
          <w:t>visitingcommittee.ecpjs@outlook.com</w:t>
        </w:r>
      </w:hyperlink>
      <w:r w:rsidRPr="7709A8AA">
        <w:rPr>
          <w:rFonts w:eastAsiaTheme="minorEastAsia"/>
        </w:rPr>
        <w:t xml:space="preserve"> </w:t>
      </w:r>
    </w:p>
    <w:p w14:paraId="22135F97" w14:textId="379F0B0B" w:rsidR="006167F4" w:rsidRDefault="7709A8AA" w:rsidP="006167F4">
      <w:pPr>
        <w:spacing w:line="259" w:lineRule="auto"/>
        <w:rPr>
          <w:rFonts w:eastAsiaTheme="minorEastAsia"/>
          <w:u w:val="single"/>
        </w:rPr>
      </w:pPr>
      <w:r w:rsidRPr="7709A8AA">
        <w:rPr>
          <w:rFonts w:eastAsiaTheme="minorEastAsia"/>
          <w:u w:val="single"/>
        </w:rPr>
        <w:lastRenderedPageBreak/>
        <w:t>Further information</w:t>
      </w:r>
    </w:p>
    <w:p w14:paraId="11D122B8" w14:textId="78A1218B" w:rsidR="7709A8AA" w:rsidRPr="00B50258" w:rsidRDefault="7709A8AA" w:rsidP="006167F4">
      <w:pPr>
        <w:spacing w:line="259" w:lineRule="auto"/>
        <w:rPr>
          <w:rFonts w:eastAsiaTheme="minorEastAsia"/>
          <w:b/>
          <w:bCs/>
          <w:lang w:val="en-US"/>
        </w:rPr>
      </w:pPr>
      <w:r w:rsidRPr="7709A8AA">
        <w:rPr>
          <w:rStyle w:val="normaltextrun"/>
          <w:rFonts w:eastAsiaTheme="minorEastAsia"/>
          <w:lang w:val="en-US"/>
        </w:rPr>
        <w:t xml:space="preserve">ECPJS understands that there are various administrative reasons for unit-wide lockdowns, and we appreciate that staffing difficulties may arise on a day-to-day basis. However, as we elaborate in our 2021-22 Report (at pp. 35-49), </w:t>
      </w:r>
      <w:r w:rsidRPr="7709A8AA">
        <w:rPr>
          <w:rStyle w:val="normaltextrun"/>
          <w:rFonts w:eastAsiaTheme="minorEastAsia"/>
          <w:b/>
          <w:bCs/>
          <w:lang w:val="en-US"/>
        </w:rPr>
        <w:t>discretion to impose lockdowns is not untrammeled. It must adhere to legal, including constitutional, limits.</w:t>
      </w:r>
      <w:r w:rsidRPr="7709A8AA">
        <w:rPr>
          <w:rStyle w:val="normaltextrun"/>
          <w:rFonts w:eastAsiaTheme="minorEastAsia"/>
          <w:lang w:val="en-US"/>
        </w:rPr>
        <w:t xml:space="preserve"> As we </w:t>
      </w:r>
      <w:r w:rsidR="00F11B54">
        <w:rPr>
          <w:rStyle w:val="normaltextrun"/>
          <w:rFonts w:eastAsiaTheme="minorEastAsia"/>
          <w:lang w:val="en-US"/>
        </w:rPr>
        <w:t>explain</w:t>
      </w:r>
      <w:r w:rsidRPr="7709A8AA">
        <w:rPr>
          <w:rStyle w:val="normaltextrun"/>
          <w:rFonts w:eastAsiaTheme="minorEastAsia"/>
          <w:lang w:val="en-US"/>
        </w:rPr>
        <w:t xml:space="preserve"> in our report, we are gravely concerned that current practice in Nova Scotia’s correctional facilities routinely exceeds those limits, subjecting prisoners to illegal deprivation of liberty and cruel and unusual treatment.</w:t>
      </w:r>
      <w:r w:rsidRPr="7709A8AA">
        <w:rPr>
          <w:rStyle w:val="eop"/>
          <w:rFonts w:eastAsiaTheme="minorEastAsia"/>
        </w:rPr>
        <w:t> </w:t>
      </w:r>
      <w:r w:rsidR="00B50258" w:rsidRPr="7709A8AA">
        <w:rPr>
          <w:rFonts w:eastAsiaTheme="minorEastAsia"/>
          <w:b/>
          <w:bCs/>
          <w:lang w:val="en-US"/>
        </w:rPr>
        <w:t>Lockdowns, along with problems accessing responsive health care, continue to be the most common and urgent concerns raised by callers to our phone line.</w:t>
      </w:r>
    </w:p>
    <w:p w14:paraId="50F92159" w14:textId="79BB3A1C" w:rsidR="7709A8AA" w:rsidRPr="005B486D" w:rsidRDefault="7709A8AA" w:rsidP="7709A8AA">
      <w:pPr>
        <w:spacing w:beforeAutospacing="1" w:afterAutospacing="1"/>
        <w:rPr>
          <w:rStyle w:val="eop"/>
          <w:rFonts w:eastAsiaTheme="minorEastAsia"/>
          <w:lang w:val="en-US"/>
        </w:rPr>
      </w:pPr>
      <w:r w:rsidRPr="7709A8AA">
        <w:rPr>
          <w:rStyle w:val="normaltextrun"/>
          <w:rFonts w:eastAsiaTheme="minorEastAsia"/>
          <w:b/>
          <w:bCs/>
          <w:lang w:val="en-US"/>
        </w:rPr>
        <w:t xml:space="preserve">The lockdowns to which prisoners at CNSCF are routinely subjected also impinge on basic entitlements under provincial correctional law. </w:t>
      </w:r>
      <w:r w:rsidRPr="7709A8AA">
        <w:rPr>
          <w:rStyle w:val="normaltextrun"/>
          <w:rFonts w:eastAsiaTheme="minorEastAsia"/>
          <w:lang w:val="en-US"/>
        </w:rPr>
        <w:t xml:space="preserve">According to sections 55 and 57 of the </w:t>
      </w:r>
      <w:r w:rsidRPr="7709A8AA">
        <w:rPr>
          <w:rStyle w:val="normaltextrun"/>
          <w:rFonts w:eastAsiaTheme="minorEastAsia"/>
          <w:i/>
          <w:iCs/>
          <w:lang w:val="en-US"/>
        </w:rPr>
        <w:t xml:space="preserve">Correctional Services Act, </w:t>
      </w:r>
      <w:r w:rsidRPr="7709A8AA">
        <w:rPr>
          <w:rStyle w:val="normaltextrun"/>
          <w:rFonts w:eastAsiaTheme="minorEastAsia"/>
          <w:lang w:val="en-US"/>
        </w:rPr>
        <w:t xml:space="preserve">prisoners are entitled to have unrestricted communications with their lawyer, and at least thirty minutes a day of outdoor exercise. Neither section lists short staffing as an exception to receiving these entitlements. While there is not a corresponding section of the </w:t>
      </w:r>
      <w:r w:rsidRPr="7709A8AA">
        <w:rPr>
          <w:rStyle w:val="normaltextrun"/>
          <w:rFonts w:eastAsiaTheme="minorEastAsia"/>
          <w:i/>
          <w:iCs/>
          <w:lang w:val="en-US"/>
        </w:rPr>
        <w:t xml:space="preserve">Correctional Services Act </w:t>
      </w:r>
      <w:r w:rsidRPr="7709A8AA">
        <w:rPr>
          <w:rStyle w:val="normaltextrun"/>
          <w:rFonts w:eastAsiaTheme="minorEastAsia"/>
          <w:lang w:val="en-US"/>
        </w:rPr>
        <w:t xml:space="preserve">relating to shower access it is nonetheless an important means of infection control (page 28, </w:t>
      </w:r>
      <w:r w:rsidRPr="7709A8AA">
        <w:rPr>
          <w:rStyle w:val="normaltextrun"/>
          <w:rFonts w:eastAsiaTheme="minorEastAsia"/>
          <w:i/>
          <w:iCs/>
          <w:lang w:val="en-US"/>
        </w:rPr>
        <w:t>Offender’s Handbook</w:t>
      </w:r>
      <w:r w:rsidRPr="7709A8AA">
        <w:rPr>
          <w:rStyle w:val="normaltextrun"/>
          <w:rFonts w:eastAsiaTheme="minorEastAsia"/>
          <w:lang w:val="en-US"/>
        </w:rPr>
        <w:t>) and vital for personal hygiene – as are clean clothes. On this note, one of the prisoners who phoned to report extensive lockdowns recently informed us that he has gone without a clean set of clothing for more than 14 days.</w:t>
      </w:r>
      <w:r w:rsidR="005B486D">
        <w:rPr>
          <w:rStyle w:val="normaltextrun"/>
          <w:rFonts w:eastAsiaTheme="minorEastAsia"/>
          <w:lang w:val="en-US"/>
        </w:rPr>
        <w:t xml:space="preserve"> </w:t>
      </w:r>
      <w:r w:rsidRPr="00D3170F">
        <w:rPr>
          <w:rStyle w:val="normaltextrun"/>
          <w:rFonts w:eastAsiaTheme="minorEastAsia"/>
          <w:b/>
          <w:bCs/>
          <w:lang w:val="en-US"/>
        </w:rPr>
        <w:t xml:space="preserve">Lockdowns such as this are analogous to solitary (or “close”) confinement according to international human rights standards and arguably according to correctional policy as well. </w:t>
      </w:r>
      <w:r w:rsidRPr="7709A8AA">
        <w:rPr>
          <w:rStyle w:val="normaltextrun"/>
          <w:rFonts w:eastAsiaTheme="minorEastAsia"/>
          <w:lang w:val="en-US"/>
        </w:rPr>
        <w:t xml:space="preserve">CSPP Policy 43 defines close confinement as a “restriction imposed on an individual to a cell or isolated area” that “limits interaction with other offenders.” A lockdown occurs where the superintendent confines prisoners to their cells on grounds of “safety, security or order” pursuant to section 79(3) of the </w:t>
      </w:r>
      <w:r w:rsidRPr="7709A8AA">
        <w:rPr>
          <w:rStyle w:val="normaltextrun"/>
          <w:rFonts w:eastAsiaTheme="minorEastAsia"/>
          <w:i/>
          <w:iCs/>
          <w:lang w:val="en-US"/>
        </w:rPr>
        <w:t>Correctional Services Regulations (CSR)</w:t>
      </w:r>
      <w:r w:rsidRPr="7709A8AA">
        <w:rPr>
          <w:rStyle w:val="normaltextrun"/>
          <w:rFonts w:eastAsiaTheme="minorEastAsia"/>
          <w:lang w:val="en-US"/>
        </w:rPr>
        <w:t xml:space="preserve">. </w:t>
      </w:r>
      <w:r w:rsidRPr="7709A8AA">
        <w:rPr>
          <w:rStyle w:val="eop"/>
          <w:rFonts w:eastAsiaTheme="minorEastAsia"/>
        </w:rPr>
        <w:t> </w:t>
      </w:r>
    </w:p>
    <w:p w14:paraId="57D32478" w14:textId="06E02E2D" w:rsidR="7709A8AA" w:rsidRDefault="7709A8AA" w:rsidP="7709A8AA">
      <w:pPr>
        <w:spacing w:beforeAutospacing="1" w:afterAutospacing="1"/>
        <w:rPr>
          <w:rStyle w:val="eop"/>
          <w:rFonts w:eastAsiaTheme="minorEastAsia"/>
          <w:lang w:val="en-US"/>
        </w:rPr>
      </w:pPr>
      <w:r w:rsidRPr="7709A8AA">
        <w:rPr>
          <w:rStyle w:val="normaltextrun"/>
          <w:rFonts w:eastAsiaTheme="minorEastAsia"/>
          <w:lang w:val="en-US"/>
        </w:rPr>
        <w:t xml:space="preserve">CSPP Policy 43 provides prisoners in close confinement with daily shower and phone access privileges. Section 95(3) of the CSR entitles prisoners in close confinement the ability to communicate with their lawyer. Even in close confinement, s.81 of the CSR mandates that prisoners have at least a half hour of activity outside of their cell per day. However, as noted, callers are repeatedly notifying us that they are being denied opportunities to shower, spend time outside their cells, and phone their lawyers as a result of unit-wide and facility-wide lockdowns. </w:t>
      </w:r>
      <w:r w:rsidRPr="7709A8AA">
        <w:rPr>
          <w:rStyle w:val="normaltextrun"/>
          <w:rFonts w:eastAsiaTheme="minorEastAsia"/>
          <w:b/>
          <w:bCs/>
          <w:lang w:val="en-US"/>
        </w:rPr>
        <w:t>It cannot be the case that prisoners placed under lockdowns have less access to privileges and entitlements normally afforded to those in close confinement.</w:t>
      </w:r>
      <w:r w:rsidRPr="7709A8AA">
        <w:rPr>
          <w:rStyle w:val="eop"/>
          <w:rFonts w:eastAsiaTheme="minorEastAsia"/>
          <w:lang w:val="en-US"/>
        </w:rPr>
        <w:t> </w:t>
      </w:r>
    </w:p>
    <w:p w14:paraId="50B30DAE" w14:textId="6158299F" w:rsidR="7709A8AA" w:rsidRDefault="7709A8AA" w:rsidP="7709A8AA">
      <w:pPr>
        <w:spacing w:beforeAutospacing="1" w:afterAutospacing="1"/>
        <w:rPr>
          <w:rStyle w:val="normaltextrun"/>
          <w:rFonts w:eastAsiaTheme="minorEastAsia"/>
          <w:lang w:val="en-US"/>
        </w:rPr>
      </w:pPr>
      <w:r w:rsidRPr="7709A8AA">
        <w:rPr>
          <w:rStyle w:val="normaltextrun"/>
          <w:rFonts w:eastAsiaTheme="minorEastAsia"/>
          <w:lang w:val="en-US"/>
        </w:rPr>
        <w:t xml:space="preserve">Justice Brothers' recent opinion in </w:t>
      </w:r>
      <w:r w:rsidRPr="7709A8AA">
        <w:rPr>
          <w:rStyle w:val="normaltextrun"/>
          <w:rFonts w:eastAsiaTheme="minorEastAsia"/>
          <w:i/>
          <w:iCs/>
          <w:lang w:val="en-US"/>
        </w:rPr>
        <w:t xml:space="preserve">Downey v Nova Scotia (AG) </w:t>
      </w:r>
      <w:r w:rsidRPr="7709A8AA">
        <w:rPr>
          <w:rStyle w:val="normaltextrun"/>
          <w:rFonts w:eastAsiaTheme="minorEastAsia"/>
          <w:lang w:val="en-US"/>
        </w:rPr>
        <w:t xml:space="preserve">2023 NSSC 204, which concerned the ongoing use of rotational lockdowns at your facility, illustrates why lockdowns cannot become the norm. In her decision, Justice Brothers stresses that a key purpose of incarceration is to help individuals "rehabilitate themselves and successfully reintegrate into the community." </w:t>
      </w:r>
      <w:r w:rsidRPr="008919FA">
        <w:rPr>
          <w:rStyle w:val="normaltextrun"/>
          <w:rFonts w:eastAsiaTheme="minorEastAsia"/>
          <w:b/>
          <w:bCs/>
          <w:lang w:val="en-US"/>
        </w:rPr>
        <w:t>However, repeated lockdowns "set individuals up to fail," forcing them to endure conditions that "even a person with robust mental health would find challenging."</w:t>
      </w:r>
      <w:r w:rsidRPr="7709A8AA">
        <w:rPr>
          <w:rStyle w:val="normaltextrun"/>
          <w:rFonts w:eastAsiaTheme="minorEastAsia"/>
          <w:lang w:val="en-US"/>
        </w:rPr>
        <w:t xml:space="preserve"> We urge you to pursue further and more effective measures to hire and retain staff. As Justice Brothers notes, if staff shortages continue to precipitate lockdowns, "there may come a day when, in the suitable procedural context, the court will impose a remedy." </w:t>
      </w:r>
    </w:p>
    <w:sectPr w:rsidR="7709A8AA" w:rsidSect="00AC3920">
      <w:pgSz w:w="12240" w:h="15840"/>
      <w:pgMar w:top="1304" w:right="1440" w:bottom="130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F3CB"/>
    <w:multiLevelType w:val="hybridMultilevel"/>
    <w:tmpl w:val="B35A2826"/>
    <w:lvl w:ilvl="0" w:tplc="870EC168">
      <w:start w:val="1"/>
      <w:numFmt w:val="bullet"/>
      <w:lvlText w:val=""/>
      <w:lvlJc w:val="left"/>
      <w:pPr>
        <w:ind w:left="720" w:hanging="360"/>
      </w:pPr>
      <w:rPr>
        <w:rFonts w:ascii="Symbol" w:hAnsi="Symbol" w:hint="default"/>
      </w:rPr>
    </w:lvl>
    <w:lvl w:ilvl="1" w:tplc="5F28E5D0">
      <w:start w:val="1"/>
      <w:numFmt w:val="bullet"/>
      <w:lvlText w:val=""/>
      <w:lvlJc w:val="left"/>
      <w:pPr>
        <w:ind w:left="1440" w:hanging="360"/>
      </w:pPr>
      <w:rPr>
        <w:rFonts w:ascii="Times New Roman" w:hAnsi="Times New Roman" w:hint="default"/>
      </w:rPr>
    </w:lvl>
    <w:lvl w:ilvl="2" w:tplc="210AC9E0">
      <w:start w:val="1"/>
      <w:numFmt w:val="bullet"/>
      <w:lvlText w:val=""/>
      <w:lvlJc w:val="left"/>
      <w:pPr>
        <w:ind w:left="2160" w:hanging="360"/>
      </w:pPr>
      <w:rPr>
        <w:rFonts w:ascii="Wingdings" w:hAnsi="Wingdings" w:hint="default"/>
      </w:rPr>
    </w:lvl>
    <w:lvl w:ilvl="3" w:tplc="3A123420">
      <w:start w:val="1"/>
      <w:numFmt w:val="bullet"/>
      <w:lvlText w:val=""/>
      <w:lvlJc w:val="left"/>
      <w:pPr>
        <w:ind w:left="2880" w:hanging="360"/>
      </w:pPr>
      <w:rPr>
        <w:rFonts w:ascii="Symbol" w:hAnsi="Symbol" w:hint="default"/>
      </w:rPr>
    </w:lvl>
    <w:lvl w:ilvl="4" w:tplc="1A14BF44">
      <w:start w:val="1"/>
      <w:numFmt w:val="bullet"/>
      <w:lvlText w:val="o"/>
      <w:lvlJc w:val="left"/>
      <w:pPr>
        <w:ind w:left="3600" w:hanging="360"/>
      </w:pPr>
      <w:rPr>
        <w:rFonts w:ascii="Courier New" w:hAnsi="Courier New" w:hint="default"/>
      </w:rPr>
    </w:lvl>
    <w:lvl w:ilvl="5" w:tplc="412466DE">
      <w:start w:val="1"/>
      <w:numFmt w:val="bullet"/>
      <w:lvlText w:val=""/>
      <w:lvlJc w:val="left"/>
      <w:pPr>
        <w:ind w:left="4320" w:hanging="360"/>
      </w:pPr>
      <w:rPr>
        <w:rFonts w:ascii="Wingdings" w:hAnsi="Wingdings" w:hint="default"/>
      </w:rPr>
    </w:lvl>
    <w:lvl w:ilvl="6" w:tplc="DDD4AF96">
      <w:start w:val="1"/>
      <w:numFmt w:val="bullet"/>
      <w:lvlText w:val=""/>
      <w:lvlJc w:val="left"/>
      <w:pPr>
        <w:ind w:left="5040" w:hanging="360"/>
      </w:pPr>
      <w:rPr>
        <w:rFonts w:ascii="Symbol" w:hAnsi="Symbol" w:hint="default"/>
      </w:rPr>
    </w:lvl>
    <w:lvl w:ilvl="7" w:tplc="8EDE674C">
      <w:start w:val="1"/>
      <w:numFmt w:val="bullet"/>
      <w:lvlText w:val="o"/>
      <w:lvlJc w:val="left"/>
      <w:pPr>
        <w:ind w:left="5760" w:hanging="360"/>
      </w:pPr>
      <w:rPr>
        <w:rFonts w:ascii="Courier New" w:hAnsi="Courier New" w:hint="default"/>
      </w:rPr>
    </w:lvl>
    <w:lvl w:ilvl="8" w:tplc="60D8C81E">
      <w:start w:val="1"/>
      <w:numFmt w:val="bullet"/>
      <w:lvlText w:val=""/>
      <w:lvlJc w:val="left"/>
      <w:pPr>
        <w:ind w:left="6480" w:hanging="360"/>
      </w:pPr>
      <w:rPr>
        <w:rFonts w:ascii="Wingdings" w:hAnsi="Wingdings" w:hint="default"/>
      </w:rPr>
    </w:lvl>
  </w:abstractNum>
  <w:abstractNum w:abstractNumId="1" w15:restartNumberingAfterBreak="0">
    <w:nsid w:val="21DA5822"/>
    <w:multiLevelType w:val="multilevel"/>
    <w:tmpl w:val="B7A4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0A7CBC"/>
    <w:multiLevelType w:val="multilevel"/>
    <w:tmpl w:val="0FC42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867DF9"/>
    <w:multiLevelType w:val="hybridMultilevel"/>
    <w:tmpl w:val="C24ECCFC"/>
    <w:lvl w:ilvl="0" w:tplc="70EA539C">
      <w:start w:val="1"/>
      <w:numFmt w:val="bullet"/>
      <w:lvlText w:val=""/>
      <w:lvlJc w:val="left"/>
      <w:pPr>
        <w:ind w:left="720" w:hanging="360"/>
      </w:pPr>
      <w:rPr>
        <w:rFonts w:ascii="Symbol" w:hAnsi="Symbol" w:hint="default"/>
      </w:rPr>
    </w:lvl>
    <w:lvl w:ilvl="1" w:tplc="1A322FCC">
      <w:start w:val="1"/>
      <w:numFmt w:val="bullet"/>
      <w:lvlText w:val="-"/>
      <w:lvlJc w:val="left"/>
      <w:pPr>
        <w:ind w:left="1440" w:hanging="360"/>
      </w:pPr>
      <w:rPr>
        <w:rFonts w:ascii="Calibri" w:hAnsi="Calibri" w:hint="default"/>
      </w:rPr>
    </w:lvl>
    <w:lvl w:ilvl="2" w:tplc="F7E238F4">
      <w:start w:val="1"/>
      <w:numFmt w:val="bullet"/>
      <w:lvlText w:val=""/>
      <w:lvlJc w:val="left"/>
      <w:pPr>
        <w:ind w:left="2160" w:hanging="360"/>
      </w:pPr>
      <w:rPr>
        <w:rFonts w:ascii="Wingdings" w:hAnsi="Wingdings" w:hint="default"/>
      </w:rPr>
    </w:lvl>
    <w:lvl w:ilvl="3" w:tplc="71AE8076">
      <w:start w:val="1"/>
      <w:numFmt w:val="bullet"/>
      <w:lvlText w:val=""/>
      <w:lvlJc w:val="left"/>
      <w:pPr>
        <w:ind w:left="2880" w:hanging="360"/>
      </w:pPr>
      <w:rPr>
        <w:rFonts w:ascii="Symbol" w:hAnsi="Symbol" w:hint="default"/>
      </w:rPr>
    </w:lvl>
    <w:lvl w:ilvl="4" w:tplc="D7EAA7B6">
      <w:start w:val="1"/>
      <w:numFmt w:val="bullet"/>
      <w:lvlText w:val="o"/>
      <w:lvlJc w:val="left"/>
      <w:pPr>
        <w:ind w:left="3600" w:hanging="360"/>
      </w:pPr>
      <w:rPr>
        <w:rFonts w:ascii="Courier New" w:hAnsi="Courier New" w:hint="default"/>
      </w:rPr>
    </w:lvl>
    <w:lvl w:ilvl="5" w:tplc="856C013E">
      <w:start w:val="1"/>
      <w:numFmt w:val="bullet"/>
      <w:lvlText w:val=""/>
      <w:lvlJc w:val="left"/>
      <w:pPr>
        <w:ind w:left="4320" w:hanging="360"/>
      </w:pPr>
      <w:rPr>
        <w:rFonts w:ascii="Wingdings" w:hAnsi="Wingdings" w:hint="default"/>
      </w:rPr>
    </w:lvl>
    <w:lvl w:ilvl="6" w:tplc="FA7CFCB0">
      <w:start w:val="1"/>
      <w:numFmt w:val="bullet"/>
      <w:lvlText w:val=""/>
      <w:lvlJc w:val="left"/>
      <w:pPr>
        <w:ind w:left="5040" w:hanging="360"/>
      </w:pPr>
      <w:rPr>
        <w:rFonts w:ascii="Symbol" w:hAnsi="Symbol" w:hint="default"/>
      </w:rPr>
    </w:lvl>
    <w:lvl w:ilvl="7" w:tplc="B2CA7854">
      <w:start w:val="1"/>
      <w:numFmt w:val="bullet"/>
      <w:lvlText w:val="o"/>
      <w:lvlJc w:val="left"/>
      <w:pPr>
        <w:ind w:left="5760" w:hanging="360"/>
      </w:pPr>
      <w:rPr>
        <w:rFonts w:ascii="Courier New" w:hAnsi="Courier New" w:hint="default"/>
      </w:rPr>
    </w:lvl>
    <w:lvl w:ilvl="8" w:tplc="C5248B16">
      <w:start w:val="1"/>
      <w:numFmt w:val="bullet"/>
      <w:lvlText w:val=""/>
      <w:lvlJc w:val="left"/>
      <w:pPr>
        <w:ind w:left="6480" w:hanging="360"/>
      </w:pPr>
      <w:rPr>
        <w:rFonts w:ascii="Wingdings" w:hAnsi="Wingdings" w:hint="default"/>
      </w:rPr>
    </w:lvl>
  </w:abstractNum>
  <w:abstractNum w:abstractNumId="4" w15:restartNumberingAfterBreak="0">
    <w:nsid w:val="4D254CDF"/>
    <w:multiLevelType w:val="hybridMultilevel"/>
    <w:tmpl w:val="972044EA"/>
    <w:lvl w:ilvl="0" w:tplc="1E5E86A0">
      <w:start w:val="1"/>
      <w:numFmt w:val="bullet"/>
      <w:lvlText w:val=""/>
      <w:lvlJc w:val="left"/>
      <w:pPr>
        <w:tabs>
          <w:tab w:val="num" w:pos="720"/>
        </w:tabs>
        <w:ind w:left="720" w:hanging="360"/>
      </w:pPr>
      <w:rPr>
        <w:rFonts w:ascii="Symbol" w:hAnsi="Symbol" w:hint="default"/>
        <w:sz w:val="20"/>
      </w:rPr>
    </w:lvl>
    <w:lvl w:ilvl="1" w:tplc="1FC642DE" w:tentative="1">
      <w:start w:val="1"/>
      <w:numFmt w:val="bullet"/>
      <w:lvlText w:val=""/>
      <w:lvlJc w:val="left"/>
      <w:pPr>
        <w:tabs>
          <w:tab w:val="num" w:pos="1440"/>
        </w:tabs>
        <w:ind w:left="1440" w:hanging="360"/>
      </w:pPr>
      <w:rPr>
        <w:rFonts w:ascii="Symbol" w:hAnsi="Symbol" w:hint="default"/>
        <w:sz w:val="20"/>
      </w:rPr>
    </w:lvl>
    <w:lvl w:ilvl="2" w:tplc="987E9B42" w:tentative="1">
      <w:start w:val="1"/>
      <w:numFmt w:val="bullet"/>
      <w:lvlText w:val=""/>
      <w:lvlJc w:val="left"/>
      <w:pPr>
        <w:tabs>
          <w:tab w:val="num" w:pos="2160"/>
        </w:tabs>
        <w:ind w:left="2160" w:hanging="360"/>
      </w:pPr>
      <w:rPr>
        <w:rFonts w:ascii="Symbol" w:hAnsi="Symbol" w:hint="default"/>
        <w:sz w:val="20"/>
      </w:rPr>
    </w:lvl>
    <w:lvl w:ilvl="3" w:tplc="AB50C4C6" w:tentative="1">
      <w:start w:val="1"/>
      <w:numFmt w:val="bullet"/>
      <w:lvlText w:val=""/>
      <w:lvlJc w:val="left"/>
      <w:pPr>
        <w:tabs>
          <w:tab w:val="num" w:pos="2880"/>
        </w:tabs>
        <w:ind w:left="2880" w:hanging="360"/>
      </w:pPr>
      <w:rPr>
        <w:rFonts w:ascii="Symbol" w:hAnsi="Symbol" w:hint="default"/>
        <w:sz w:val="20"/>
      </w:rPr>
    </w:lvl>
    <w:lvl w:ilvl="4" w:tplc="6FE4D986" w:tentative="1">
      <w:start w:val="1"/>
      <w:numFmt w:val="bullet"/>
      <w:lvlText w:val=""/>
      <w:lvlJc w:val="left"/>
      <w:pPr>
        <w:tabs>
          <w:tab w:val="num" w:pos="3600"/>
        </w:tabs>
        <w:ind w:left="3600" w:hanging="360"/>
      </w:pPr>
      <w:rPr>
        <w:rFonts w:ascii="Symbol" w:hAnsi="Symbol" w:hint="default"/>
        <w:sz w:val="20"/>
      </w:rPr>
    </w:lvl>
    <w:lvl w:ilvl="5" w:tplc="7F36BBA2" w:tentative="1">
      <w:start w:val="1"/>
      <w:numFmt w:val="bullet"/>
      <w:lvlText w:val=""/>
      <w:lvlJc w:val="left"/>
      <w:pPr>
        <w:tabs>
          <w:tab w:val="num" w:pos="4320"/>
        </w:tabs>
        <w:ind w:left="4320" w:hanging="360"/>
      </w:pPr>
      <w:rPr>
        <w:rFonts w:ascii="Symbol" w:hAnsi="Symbol" w:hint="default"/>
        <w:sz w:val="20"/>
      </w:rPr>
    </w:lvl>
    <w:lvl w:ilvl="6" w:tplc="E096572C" w:tentative="1">
      <w:start w:val="1"/>
      <w:numFmt w:val="bullet"/>
      <w:lvlText w:val=""/>
      <w:lvlJc w:val="left"/>
      <w:pPr>
        <w:tabs>
          <w:tab w:val="num" w:pos="5040"/>
        </w:tabs>
        <w:ind w:left="5040" w:hanging="360"/>
      </w:pPr>
      <w:rPr>
        <w:rFonts w:ascii="Symbol" w:hAnsi="Symbol" w:hint="default"/>
        <w:sz w:val="20"/>
      </w:rPr>
    </w:lvl>
    <w:lvl w:ilvl="7" w:tplc="A3DA5D4C" w:tentative="1">
      <w:start w:val="1"/>
      <w:numFmt w:val="bullet"/>
      <w:lvlText w:val=""/>
      <w:lvlJc w:val="left"/>
      <w:pPr>
        <w:tabs>
          <w:tab w:val="num" w:pos="5760"/>
        </w:tabs>
        <w:ind w:left="5760" w:hanging="360"/>
      </w:pPr>
      <w:rPr>
        <w:rFonts w:ascii="Symbol" w:hAnsi="Symbol" w:hint="default"/>
        <w:sz w:val="20"/>
      </w:rPr>
    </w:lvl>
    <w:lvl w:ilvl="8" w:tplc="A5BE1260"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8D26F0"/>
    <w:multiLevelType w:val="multilevel"/>
    <w:tmpl w:val="07269C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CA77D7"/>
    <w:multiLevelType w:val="multilevel"/>
    <w:tmpl w:val="7E62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91577789">
    <w:abstractNumId w:val="0"/>
  </w:num>
  <w:num w:numId="2" w16cid:durableId="1147088198">
    <w:abstractNumId w:val="3"/>
  </w:num>
  <w:num w:numId="3" w16cid:durableId="1852992216">
    <w:abstractNumId w:val="6"/>
  </w:num>
  <w:num w:numId="4" w16cid:durableId="1209026307">
    <w:abstractNumId w:val="4"/>
  </w:num>
  <w:num w:numId="5" w16cid:durableId="1633710564">
    <w:abstractNumId w:val="1"/>
  </w:num>
  <w:num w:numId="6" w16cid:durableId="344788513">
    <w:abstractNumId w:val="2"/>
  </w:num>
  <w:num w:numId="7" w16cid:durableId="11358314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E7"/>
    <w:rsid w:val="00017B4D"/>
    <w:rsid w:val="00023A22"/>
    <w:rsid w:val="00094B27"/>
    <w:rsid w:val="000A7B73"/>
    <w:rsid w:val="00103648"/>
    <w:rsid w:val="00114159"/>
    <w:rsid w:val="00124FE9"/>
    <w:rsid w:val="0033443E"/>
    <w:rsid w:val="00365A66"/>
    <w:rsid w:val="003F59D4"/>
    <w:rsid w:val="00414A83"/>
    <w:rsid w:val="00465B35"/>
    <w:rsid w:val="005131B8"/>
    <w:rsid w:val="005656E7"/>
    <w:rsid w:val="005A3767"/>
    <w:rsid w:val="005B486D"/>
    <w:rsid w:val="005D0C2E"/>
    <w:rsid w:val="005D6FE5"/>
    <w:rsid w:val="005E40B7"/>
    <w:rsid w:val="006051D8"/>
    <w:rsid w:val="006167F4"/>
    <w:rsid w:val="00686018"/>
    <w:rsid w:val="0070149B"/>
    <w:rsid w:val="00777BE7"/>
    <w:rsid w:val="007C1DE4"/>
    <w:rsid w:val="008141DE"/>
    <w:rsid w:val="00815B64"/>
    <w:rsid w:val="00841180"/>
    <w:rsid w:val="008919FA"/>
    <w:rsid w:val="008A1356"/>
    <w:rsid w:val="008E7033"/>
    <w:rsid w:val="00943DCC"/>
    <w:rsid w:val="009648CC"/>
    <w:rsid w:val="00AC3920"/>
    <w:rsid w:val="00B03FC2"/>
    <w:rsid w:val="00B50258"/>
    <w:rsid w:val="00BE3DDA"/>
    <w:rsid w:val="00C0462B"/>
    <w:rsid w:val="00CF144A"/>
    <w:rsid w:val="00D05CFA"/>
    <w:rsid w:val="00D3170F"/>
    <w:rsid w:val="00D4181F"/>
    <w:rsid w:val="00DF73C3"/>
    <w:rsid w:val="00E74FF3"/>
    <w:rsid w:val="00F11B54"/>
    <w:rsid w:val="00F57768"/>
    <w:rsid w:val="00F70621"/>
    <w:rsid w:val="00F97D00"/>
    <w:rsid w:val="00FB0C3A"/>
    <w:rsid w:val="00FC543A"/>
    <w:rsid w:val="7709A8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C382"/>
  <w15:chartTrackingRefBased/>
  <w15:docId w15:val="{21A028D5-1455-D544-A8D1-7F342C56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59D4"/>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semiHidden/>
    <w:unhideWhenUsed/>
    <w:qFormat/>
    <w:rsid w:val="003F59D4"/>
    <w:pPr>
      <w:keepNext/>
      <w:keepLines/>
      <w:spacing w:before="4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semiHidden/>
    <w:unhideWhenUsed/>
    <w:qFormat/>
    <w:rsid w:val="003F59D4"/>
    <w:pPr>
      <w:keepNext/>
      <w:keepLines/>
      <w:spacing w:before="40"/>
      <w:outlineLvl w:val="2"/>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9D4"/>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semiHidden/>
    <w:rsid w:val="003F59D4"/>
    <w:rPr>
      <w:rFonts w:asciiTheme="majorHAnsi" w:eastAsiaTheme="majorEastAsia" w:hAnsiTheme="majorHAnsi" w:cstheme="majorBidi"/>
      <w:b/>
      <w:color w:val="000000" w:themeColor="text1"/>
      <w:sz w:val="26"/>
      <w:szCs w:val="26"/>
    </w:rPr>
  </w:style>
  <w:style w:type="character" w:customStyle="1" w:styleId="Heading3Char">
    <w:name w:val="Heading 3 Char"/>
    <w:basedOn w:val="DefaultParagraphFont"/>
    <w:link w:val="Heading3"/>
    <w:uiPriority w:val="9"/>
    <w:semiHidden/>
    <w:rsid w:val="003F59D4"/>
    <w:rPr>
      <w:rFonts w:asciiTheme="majorHAnsi" w:eastAsiaTheme="majorEastAsia" w:hAnsiTheme="majorHAnsi" w:cstheme="majorBidi"/>
      <w:color w:val="000000" w:themeColor="text1"/>
    </w:rPr>
  </w:style>
  <w:style w:type="character" w:styleId="Hyperlink">
    <w:name w:val="Hyperlink"/>
    <w:basedOn w:val="DefaultParagraphFont"/>
    <w:uiPriority w:val="99"/>
    <w:unhideWhenUsed/>
    <w:rsid w:val="00686018"/>
    <w:rPr>
      <w:color w:val="0563C1" w:themeColor="hyperlink"/>
      <w:u w:val="single"/>
    </w:rPr>
  </w:style>
  <w:style w:type="character" w:styleId="UnresolvedMention">
    <w:name w:val="Unresolved Mention"/>
    <w:basedOn w:val="DefaultParagraphFont"/>
    <w:uiPriority w:val="99"/>
    <w:semiHidden/>
    <w:unhideWhenUsed/>
    <w:rsid w:val="00686018"/>
    <w:rPr>
      <w:color w:val="605E5C"/>
      <w:shd w:val="clear" w:color="auto" w:fill="E1DFDD"/>
    </w:rPr>
  </w:style>
  <w:style w:type="character" w:customStyle="1" w:styleId="normaltextrun">
    <w:name w:val="normaltextrun"/>
    <w:basedOn w:val="DefaultParagraphFont"/>
    <w:uiPriority w:val="1"/>
    <w:rsid w:val="7709A8AA"/>
  </w:style>
  <w:style w:type="character" w:customStyle="1" w:styleId="eop">
    <w:name w:val="eop"/>
    <w:basedOn w:val="DefaultParagraphFont"/>
    <w:uiPriority w:val="1"/>
    <w:rsid w:val="7709A8AA"/>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0249">
      <w:bodyDiv w:val="1"/>
      <w:marLeft w:val="0"/>
      <w:marRight w:val="0"/>
      <w:marTop w:val="0"/>
      <w:marBottom w:val="0"/>
      <w:divBdr>
        <w:top w:val="none" w:sz="0" w:space="0" w:color="auto"/>
        <w:left w:val="none" w:sz="0" w:space="0" w:color="auto"/>
        <w:bottom w:val="none" w:sz="0" w:space="0" w:color="auto"/>
        <w:right w:val="none" w:sz="0" w:space="0" w:color="auto"/>
      </w:divBdr>
    </w:div>
    <w:div w:id="106629933">
      <w:bodyDiv w:val="1"/>
      <w:marLeft w:val="0"/>
      <w:marRight w:val="0"/>
      <w:marTop w:val="0"/>
      <w:marBottom w:val="0"/>
      <w:divBdr>
        <w:top w:val="none" w:sz="0" w:space="0" w:color="auto"/>
        <w:left w:val="none" w:sz="0" w:space="0" w:color="auto"/>
        <w:bottom w:val="none" w:sz="0" w:space="0" w:color="auto"/>
        <w:right w:val="none" w:sz="0" w:space="0" w:color="auto"/>
      </w:divBdr>
    </w:div>
    <w:div w:id="167714149">
      <w:bodyDiv w:val="1"/>
      <w:marLeft w:val="0"/>
      <w:marRight w:val="0"/>
      <w:marTop w:val="0"/>
      <w:marBottom w:val="0"/>
      <w:divBdr>
        <w:top w:val="none" w:sz="0" w:space="0" w:color="auto"/>
        <w:left w:val="none" w:sz="0" w:space="0" w:color="auto"/>
        <w:bottom w:val="none" w:sz="0" w:space="0" w:color="auto"/>
        <w:right w:val="none" w:sz="0" w:space="0" w:color="auto"/>
      </w:divBdr>
    </w:div>
    <w:div w:id="225915423">
      <w:bodyDiv w:val="1"/>
      <w:marLeft w:val="0"/>
      <w:marRight w:val="0"/>
      <w:marTop w:val="0"/>
      <w:marBottom w:val="0"/>
      <w:divBdr>
        <w:top w:val="none" w:sz="0" w:space="0" w:color="auto"/>
        <w:left w:val="none" w:sz="0" w:space="0" w:color="auto"/>
        <w:bottom w:val="none" w:sz="0" w:space="0" w:color="auto"/>
        <w:right w:val="none" w:sz="0" w:space="0" w:color="auto"/>
      </w:divBdr>
    </w:div>
    <w:div w:id="229192090">
      <w:bodyDiv w:val="1"/>
      <w:marLeft w:val="0"/>
      <w:marRight w:val="0"/>
      <w:marTop w:val="0"/>
      <w:marBottom w:val="0"/>
      <w:divBdr>
        <w:top w:val="none" w:sz="0" w:space="0" w:color="auto"/>
        <w:left w:val="none" w:sz="0" w:space="0" w:color="auto"/>
        <w:bottom w:val="none" w:sz="0" w:space="0" w:color="auto"/>
        <w:right w:val="none" w:sz="0" w:space="0" w:color="auto"/>
      </w:divBdr>
    </w:div>
    <w:div w:id="290213407">
      <w:bodyDiv w:val="1"/>
      <w:marLeft w:val="0"/>
      <w:marRight w:val="0"/>
      <w:marTop w:val="0"/>
      <w:marBottom w:val="0"/>
      <w:divBdr>
        <w:top w:val="none" w:sz="0" w:space="0" w:color="auto"/>
        <w:left w:val="none" w:sz="0" w:space="0" w:color="auto"/>
        <w:bottom w:val="none" w:sz="0" w:space="0" w:color="auto"/>
        <w:right w:val="none" w:sz="0" w:space="0" w:color="auto"/>
      </w:divBdr>
    </w:div>
    <w:div w:id="445735703">
      <w:bodyDiv w:val="1"/>
      <w:marLeft w:val="0"/>
      <w:marRight w:val="0"/>
      <w:marTop w:val="0"/>
      <w:marBottom w:val="0"/>
      <w:divBdr>
        <w:top w:val="none" w:sz="0" w:space="0" w:color="auto"/>
        <w:left w:val="none" w:sz="0" w:space="0" w:color="auto"/>
        <w:bottom w:val="none" w:sz="0" w:space="0" w:color="auto"/>
        <w:right w:val="none" w:sz="0" w:space="0" w:color="auto"/>
      </w:divBdr>
    </w:div>
    <w:div w:id="470825041">
      <w:bodyDiv w:val="1"/>
      <w:marLeft w:val="0"/>
      <w:marRight w:val="0"/>
      <w:marTop w:val="0"/>
      <w:marBottom w:val="0"/>
      <w:divBdr>
        <w:top w:val="none" w:sz="0" w:space="0" w:color="auto"/>
        <w:left w:val="none" w:sz="0" w:space="0" w:color="auto"/>
        <w:bottom w:val="none" w:sz="0" w:space="0" w:color="auto"/>
        <w:right w:val="none" w:sz="0" w:space="0" w:color="auto"/>
      </w:divBdr>
    </w:div>
    <w:div w:id="732196516">
      <w:bodyDiv w:val="1"/>
      <w:marLeft w:val="0"/>
      <w:marRight w:val="0"/>
      <w:marTop w:val="0"/>
      <w:marBottom w:val="0"/>
      <w:divBdr>
        <w:top w:val="none" w:sz="0" w:space="0" w:color="auto"/>
        <w:left w:val="none" w:sz="0" w:space="0" w:color="auto"/>
        <w:bottom w:val="none" w:sz="0" w:space="0" w:color="auto"/>
        <w:right w:val="none" w:sz="0" w:space="0" w:color="auto"/>
      </w:divBdr>
    </w:div>
    <w:div w:id="775516868">
      <w:bodyDiv w:val="1"/>
      <w:marLeft w:val="0"/>
      <w:marRight w:val="0"/>
      <w:marTop w:val="0"/>
      <w:marBottom w:val="0"/>
      <w:divBdr>
        <w:top w:val="none" w:sz="0" w:space="0" w:color="auto"/>
        <w:left w:val="none" w:sz="0" w:space="0" w:color="auto"/>
        <w:bottom w:val="none" w:sz="0" w:space="0" w:color="auto"/>
        <w:right w:val="none" w:sz="0" w:space="0" w:color="auto"/>
      </w:divBdr>
    </w:div>
    <w:div w:id="781723943">
      <w:bodyDiv w:val="1"/>
      <w:marLeft w:val="0"/>
      <w:marRight w:val="0"/>
      <w:marTop w:val="0"/>
      <w:marBottom w:val="0"/>
      <w:divBdr>
        <w:top w:val="none" w:sz="0" w:space="0" w:color="auto"/>
        <w:left w:val="none" w:sz="0" w:space="0" w:color="auto"/>
        <w:bottom w:val="none" w:sz="0" w:space="0" w:color="auto"/>
        <w:right w:val="none" w:sz="0" w:space="0" w:color="auto"/>
      </w:divBdr>
      <w:divsChild>
        <w:div w:id="701787925">
          <w:marLeft w:val="0"/>
          <w:marRight w:val="0"/>
          <w:marTop w:val="0"/>
          <w:marBottom w:val="0"/>
          <w:divBdr>
            <w:top w:val="none" w:sz="0" w:space="0" w:color="auto"/>
            <w:left w:val="none" w:sz="0" w:space="0" w:color="auto"/>
            <w:bottom w:val="none" w:sz="0" w:space="0" w:color="auto"/>
            <w:right w:val="none" w:sz="0" w:space="0" w:color="auto"/>
          </w:divBdr>
        </w:div>
        <w:div w:id="43410160">
          <w:marLeft w:val="0"/>
          <w:marRight w:val="0"/>
          <w:marTop w:val="0"/>
          <w:marBottom w:val="0"/>
          <w:divBdr>
            <w:top w:val="none" w:sz="0" w:space="0" w:color="auto"/>
            <w:left w:val="none" w:sz="0" w:space="0" w:color="auto"/>
            <w:bottom w:val="none" w:sz="0" w:space="0" w:color="auto"/>
            <w:right w:val="none" w:sz="0" w:space="0" w:color="auto"/>
          </w:divBdr>
        </w:div>
      </w:divsChild>
    </w:div>
    <w:div w:id="881478615">
      <w:bodyDiv w:val="1"/>
      <w:marLeft w:val="0"/>
      <w:marRight w:val="0"/>
      <w:marTop w:val="0"/>
      <w:marBottom w:val="0"/>
      <w:divBdr>
        <w:top w:val="none" w:sz="0" w:space="0" w:color="auto"/>
        <w:left w:val="none" w:sz="0" w:space="0" w:color="auto"/>
        <w:bottom w:val="none" w:sz="0" w:space="0" w:color="auto"/>
        <w:right w:val="none" w:sz="0" w:space="0" w:color="auto"/>
      </w:divBdr>
    </w:div>
    <w:div w:id="944925865">
      <w:bodyDiv w:val="1"/>
      <w:marLeft w:val="0"/>
      <w:marRight w:val="0"/>
      <w:marTop w:val="0"/>
      <w:marBottom w:val="0"/>
      <w:divBdr>
        <w:top w:val="none" w:sz="0" w:space="0" w:color="auto"/>
        <w:left w:val="none" w:sz="0" w:space="0" w:color="auto"/>
        <w:bottom w:val="none" w:sz="0" w:space="0" w:color="auto"/>
        <w:right w:val="none" w:sz="0" w:space="0" w:color="auto"/>
      </w:divBdr>
    </w:div>
    <w:div w:id="968169790">
      <w:bodyDiv w:val="1"/>
      <w:marLeft w:val="0"/>
      <w:marRight w:val="0"/>
      <w:marTop w:val="0"/>
      <w:marBottom w:val="0"/>
      <w:divBdr>
        <w:top w:val="none" w:sz="0" w:space="0" w:color="auto"/>
        <w:left w:val="none" w:sz="0" w:space="0" w:color="auto"/>
        <w:bottom w:val="none" w:sz="0" w:space="0" w:color="auto"/>
        <w:right w:val="none" w:sz="0" w:space="0" w:color="auto"/>
      </w:divBdr>
    </w:div>
    <w:div w:id="1062946096">
      <w:bodyDiv w:val="1"/>
      <w:marLeft w:val="0"/>
      <w:marRight w:val="0"/>
      <w:marTop w:val="0"/>
      <w:marBottom w:val="0"/>
      <w:divBdr>
        <w:top w:val="none" w:sz="0" w:space="0" w:color="auto"/>
        <w:left w:val="none" w:sz="0" w:space="0" w:color="auto"/>
        <w:bottom w:val="none" w:sz="0" w:space="0" w:color="auto"/>
        <w:right w:val="none" w:sz="0" w:space="0" w:color="auto"/>
      </w:divBdr>
    </w:div>
    <w:div w:id="1150245275">
      <w:bodyDiv w:val="1"/>
      <w:marLeft w:val="0"/>
      <w:marRight w:val="0"/>
      <w:marTop w:val="0"/>
      <w:marBottom w:val="0"/>
      <w:divBdr>
        <w:top w:val="none" w:sz="0" w:space="0" w:color="auto"/>
        <w:left w:val="none" w:sz="0" w:space="0" w:color="auto"/>
        <w:bottom w:val="none" w:sz="0" w:space="0" w:color="auto"/>
        <w:right w:val="none" w:sz="0" w:space="0" w:color="auto"/>
      </w:divBdr>
    </w:div>
    <w:div w:id="1263027686">
      <w:bodyDiv w:val="1"/>
      <w:marLeft w:val="0"/>
      <w:marRight w:val="0"/>
      <w:marTop w:val="0"/>
      <w:marBottom w:val="0"/>
      <w:divBdr>
        <w:top w:val="none" w:sz="0" w:space="0" w:color="auto"/>
        <w:left w:val="none" w:sz="0" w:space="0" w:color="auto"/>
        <w:bottom w:val="none" w:sz="0" w:space="0" w:color="auto"/>
        <w:right w:val="none" w:sz="0" w:space="0" w:color="auto"/>
      </w:divBdr>
    </w:div>
    <w:div w:id="1643655700">
      <w:bodyDiv w:val="1"/>
      <w:marLeft w:val="0"/>
      <w:marRight w:val="0"/>
      <w:marTop w:val="0"/>
      <w:marBottom w:val="0"/>
      <w:divBdr>
        <w:top w:val="none" w:sz="0" w:space="0" w:color="auto"/>
        <w:left w:val="none" w:sz="0" w:space="0" w:color="auto"/>
        <w:bottom w:val="none" w:sz="0" w:space="0" w:color="auto"/>
        <w:right w:val="none" w:sz="0" w:space="0" w:color="auto"/>
      </w:divBdr>
      <w:divsChild>
        <w:div w:id="1387292664">
          <w:marLeft w:val="0"/>
          <w:marRight w:val="0"/>
          <w:marTop w:val="0"/>
          <w:marBottom w:val="0"/>
          <w:divBdr>
            <w:top w:val="none" w:sz="0" w:space="0" w:color="auto"/>
            <w:left w:val="none" w:sz="0" w:space="0" w:color="auto"/>
            <w:bottom w:val="none" w:sz="0" w:space="0" w:color="auto"/>
            <w:right w:val="none" w:sz="0" w:space="0" w:color="auto"/>
          </w:divBdr>
        </w:div>
        <w:div w:id="114181054">
          <w:marLeft w:val="0"/>
          <w:marRight w:val="0"/>
          <w:marTop w:val="0"/>
          <w:marBottom w:val="0"/>
          <w:divBdr>
            <w:top w:val="none" w:sz="0" w:space="0" w:color="auto"/>
            <w:left w:val="none" w:sz="0" w:space="0" w:color="auto"/>
            <w:bottom w:val="none" w:sz="0" w:space="0" w:color="auto"/>
            <w:right w:val="none" w:sz="0" w:space="0" w:color="auto"/>
          </w:divBdr>
        </w:div>
        <w:div w:id="1190800263">
          <w:marLeft w:val="0"/>
          <w:marRight w:val="0"/>
          <w:marTop w:val="0"/>
          <w:marBottom w:val="0"/>
          <w:divBdr>
            <w:top w:val="none" w:sz="0" w:space="0" w:color="auto"/>
            <w:left w:val="none" w:sz="0" w:space="0" w:color="auto"/>
            <w:bottom w:val="none" w:sz="0" w:space="0" w:color="auto"/>
            <w:right w:val="none" w:sz="0" w:space="0" w:color="auto"/>
          </w:divBdr>
        </w:div>
      </w:divsChild>
    </w:div>
    <w:div w:id="1772437413">
      <w:bodyDiv w:val="1"/>
      <w:marLeft w:val="0"/>
      <w:marRight w:val="0"/>
      <w:marTop w:val="0"/>
      <w:marBottom w:val="0"/>
      <w:divBdr>
        <w:top w:val="none" w:sz="0" w:space="0" w:color="auto"/>
        <w:left w:val="none" w:sz="0" w:space="0" w:color="auto"/>
        <w:bottom w:val="none" w:sz="0" w:space="0" w:color="auto"/>
        <w:right w:val="none" w:sz="0" w:space="0" w:color="auto"/>
      </w:divBdr>
    </w:div>
    <w:div w:id="1937789665">
      <w:bodyDiv w:val="1"/>
      <w:marLeft w:val="0"/>
      <w:marRight w:val="0"/>
      <w:marTop w:val="0"/>
      <w:marBottom w:val="0"/>
      <w:divBdr>
        <w:top w:val="none" w:sz="0" w:space="0" w:color="auto"/>
        <w:left w:val="none" w:sz="0" w:space="0" w:color="auto"/>
        <w:bottom w:val="none" w:sz="0" w:space="0" w:color="auto"/>
        <w:right w:val="none" w:sz="0" w:space="0" w:color="auto"/>
      </w:divBdr>
    </w:div>
    <w:div w:id="1986620455">
      <w:bodyDiv w:val="1"/>
      <w:marLeft w:val="0"/>
      <w:marRight w:val="0"/>
      <w:marTop w:val="0"/>
      <w:marBottom w:val="0"/>
      <w:divBdr>
        <w:top w:val="none" w:sz="0" w:space="0" w:color="auto"/>
        <w:left w:val="none" w:sz="0" w:space="0" w:color="auto"/>
        <w:bottom w:val="none" w:sz="0" w:space="0" w:color="auto"/>
        <w:right w:val="none" w:sz="0" w:space="0" w:color="auto"/>
      </w:divBdr>
    </w:div>
    <w:div w:id="2093357280">
      <w:bodyDiv w:val="1"/>
      <w:marLeft w:val="0"/>
      <w:marRight w:val="0"/>
      <w:marTop w:val="0"/>
      <w:marBottom w:val="0"/>
      <w:divBdr>
        <w:top w:val="none" w:sz="0" w:space="0" w:color="auto"/>
        <w:left w:val="none" w:sz="0" w:space="0" w:color="auto"/>
        <w:bottom w:val="none" w:sz="0" w:space="0" w:color="auto"/>
        <w:right w:val="none" w:sz="0" w:space="0" w:color="auto"/>
      </w:divBdr>
    </w:div>
    <w:div w:id="209998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rington.critchley@gmail.com" TargetMode="External"/><Relationship Id="rId3" Type="http://schemas.openxmlformats.org/officeDocument/2006/relationships/settings" Target="settings.xml"/><Relationship Id="rId7" Type="http://schemas.openxmlformats.org/officeDocument/2006/relationships/hyperlink" Target="https://www.eastcoastprisonjustice.ca/uploads/1/3/8/1/138152103/vc_report_-_fin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lii.org/en/ns/nssc/doc/2023/2023nssc204/2023nssc204.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visitingcommittee.ecpjs@outlook.com" TargetMode="External"/><Relationship Id="rId4" Type="http://schemas.openxmlformats.org/officeDocument/2006/relationships/webSettings" Target="webSettings.xml"/><Relationship Id="rId9" Type="http://schemas.openxmlformats.org/officeDocument/2006/relationships/hyperlink" Target="mailto:Sheila.wildeman@da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1399</Words>
  <Characters>7980</Characters>
  <Application>Microsoft Office Word</Application>
  <DocSecurity>0</DocSecurity>
  <Lines>66</Lines>
  <Paragraphs>18</Paragraphs>
  <ScaleCrop>false</ScaleCrop>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Loewig</dc:creator>
  <cp:keywords/>
  <dc:description/>
  <cp:lastModifiedBy>Harry Critchley</cp:lastModifiedBy>
  <cp:revision>4</cp:revision>
  <dcterms:created xsi:type="dcterms:W3CDTF">2023-11-07T12:53:00Z</dcterms:created>
  <dcterms:modified xsi:type="dcterms:W3CDTF">2023-11-07T12:54:00Z</dcterms:modified>
</cp:coreProperties>
</file>